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14-Apr-26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HELICONE</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11"/>
        </w:numPr>
        <w:spacing w:after="60" w:before="600" w:line="288"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Helicone API is an AI gateway and observability platform that provides a unified interface to interact with multiple large language and multimodal AI models through a single REST API. It enables developers to integrate, manage, and monitor AI model usage efficiently without being tied to a single provider.</w:t>
      </w:r>
    </w:p>
    <w:p w:rsidR="00000000" w:rsidDel="00000000" w:rsidP="00000000" w:rsidRDefault="00000000" w:rsidRPr="00000000" w14:paraId="00000006">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Helicone supports models from providers such as OpenAI, Anthropic, and Google, along with open-source models like Llama and Mistral. The API is compatible with OpenAI-style request formats, making it easy to migrate or integrate existing applications.</w:t>
      </w:r>
    </w:p>
    <w:p w:rsidR="00000000" w:rsidDel="00000000" w:rsidP="00000000" w:rsidRDefault="00000000" w:rsidRPr="00000000" w14:paraId="00000007">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It supports a wide range of AI capabilities including text generation, chat completions, embeddings, and multimodal inputs (text and images). Developers can send HTTP requests to Helicone, which intelligently routes them to the appropriate model provider.</w:t>
      </w:r>
    </w:p>
    <w:p w:rsidR="00000000" w:rsidDel="00000000" w:rsidP="00000000" w:rsidRDefault="00000000" w:rsidRPr="00000000" w14:paraId="00000008">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In addition to model access, Helicone provides advanced features such as request logging, analytics, caching, retry mechanisms, rate limiting, and cost tracking. It also supports both Bring Your Own Key (BYOK) and managed billing options for flexible usage control.</w:t>
      </w:r>
    </w:p>
    <w:p w:rsidR="00000000" w:rsidDel="00000000" w:rsidP="00000000" w:rsidRDefault="00000000" w:rsidRPr="00000000" w14:paraId="00000009">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Helicone is ideal for building scalable AI-powered applications such as chatbots, content generators, AI assistants, translation systems, and multimodal solutions, while maintaining visibility, performance monitoring, and cost optimization.</w:t>
      </w:r>
    </w:p>
    <w:p w:rsidR="00000000" w:rsidDel="00000000" w:rsidP="00000000" w:rsidRDefault="00000000" w:rsidRPr="00000000" w14:paraId="0000000A">
      <w:pPr>
        <w:spacing w:after="120" w:line="288"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0B">
      <w:pPr>
        <w:pStyle w:val="Heading2"/>
        <w:keepNext w:val="0"/>
        <w:keepLines w:val="0"/>
        <w:numPr>
          <w:ilvl w:val="1"/>
          <w:numId w:val="11"/>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Use case:</w:t>
      </w:r>
    </w:p>
    <w:p w:rsidR="00000000" w:rsidDel="00000000" w:rsidP="00000000" w:rsidRDefault="00000000" w:rsidRPr="00000000" w14:paraId="0000000C">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Multi-Model Chatbots &amp; Virtual Assistants</w:t>
      </w:r>
      <w:r w:rsidDel="00000000" w:rsidR="00000000" w:rsidRPr="00000000">
        <w:rPr>
          <w:rFonts w:ascii="Cambria" w:cs="Cambria" w:eastAsia="Cambria" w:hAnsi="Cambria"/>
          <w:rtl w:val="0"/>
        </w:rPr>
        <w:t xml:space="preserve"> – Build conversational AI by routing requests to models like Llama, Mistral, or providers such as OpenAI and Anthropic through a single API.</w:t>
      </w:r>
    </w:p>
    <w:p w:rsidR="00000000" w:rsidDel="00000000" w:rsidP="00000000" w:rsidRDefault="00000000" w:rsidRPr="00000000" w14:paraId="0000000D">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Unified Text Generation &amp; Summarization</w:t>
      </w:r>
      <w:r w:rsidDel="00000000" w:rsidR="00000000" w:rsidRPr="00000000">
        <w:rPr>
          <w:rFonts w:ascii="Cambria" w:cs="Cambria" w:eastAsia="Cambria" w:hAnsi="Cambria"/>
          <w:rtl w:val="0"/>
        </w:rPr>
        <w:t xml:space="preserve"> – Generate content such as emails, blogs, and summaries using different models via one OpenAI-compatible interface.</w:t>
      </w:r>
    </w:p>
    <w:p w:rsidR="00000000" w:rsidDel="00000000" w:rsidP="00000000" w:rsidRDefault="00000000" w:rsidRPr="00000000" w14:paraId="0000000E">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Smart Model Routing &amp; Optimization</w:t>
      </w:r>
      <w:r w:rsidDel="00000000" w:rsidR="00000000" w:rsidRPr="00000000">
        <w:rPr>
          <w:rFonts w:ascii="Cambria" w:cs="Cambria" w:eastAsia="Cambria" w:hAnsi="Cambria"/>
          <w:rtl w:val="0"/>
        </w:rPr>
        <w:t xml:space="preserve"> – Dynamically route requests to the best-performing or lowest-cost model based on latency, pricing, or use case requirements.</w:t>
      </w:r>
    </w:p>
    <w:p w:rsidR="00000000" w:rsidDel="00000000" w:rsidP="00000000" w:rsidRDefault="00000000" w:rsidRPr="00000000" w14:paraId="0000000F">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Request Logging &amp; Monitoring</w:t>
      </w:r>
      <w:r w:rsidDel="00000000" w:rsidR="00000000" w:rsidRPr="00000000">
        <w:rPr>
          <w:rFonts w:ascii="Cambria" w:cs="Cambria" w:eastAsia="Cambria" w:hAnsi="Cambria"/>
          <w:rtl w:val="0"/>
        </w:rPr>
        <w:t xml:space="preserve"> – Track all API requests and responses with detailed logs, enabling debugging, auditing, and performance analysis.</w:t>
      </w:r>
    </w:p>
    <w:p w:rsidR="00000000" w:rsidDel="00000000" w:rsidP="00000000" w:rsidRDefault="00000000" w:rsidRPr="00000000" w14:paraId="00000010">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Cost Tracking &amp; Usage Analytics</w:t>
      </w:r>
      <w:r w:rsidDel="00000000" w:rsidR="00000000" w:rsidRPr="00000000">
        <w:rPr>
          <w:rFonts w:ascii="Cambria" w:cs="Cambria" w:eastAsia="Cambria" w:hAnsi="Cambria"/>
          <w:rtl w:val="0"/>
        </w:rPr>
        <w:t xml:space="preserve"> – Monitor token usage and costs across multiple providers to optimize spending and improve efficiency.</w:t>
      </w:r>
    </w:p>
    <w:p w:rsidR="00000000" w:rsidDel="00000000" w:rsidP="00000000" w:rsidRDefault="00000000" w:rsidRPr="00000000" w14:paraId="00000011">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Caching &amp; Performance Optimization</w:t>
      </w:r>
      <w:r w:rsidDel="00000000" w:rsidR="00000000" w:rsidRPr="00000000">
        <w:rPr>
          <w:rFonts w:ascii="Cambria" w:cs="Cambria" w:eastAsia="Cambria" w:hAnsi="Cambria"/>
          <w:rtl w:val="0"/>
        </w:rPr>
        <w:t xml:space="preserve"> – Reduce latency and cost by caching repeated AI responses and reusing them when applicable.</w:t>
      </w:r>
    </w:p>
    <w:p w:rsidR="00000000" w:rsidDel="00000000" w:rsidP="00000000" w:rsidRDefault="00000000" w:rsidRPr="00000000" w14:paraId="00000012">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Failover &amp; Reliability Handling</w:t>
      </w:r>
      <w:r w:rsidDel="00000000" w:rsidR="00000000" w:rsidRPr="00000000">
        <w:rPr>
          <w:rFonts w:ascii="Cambria" w:cs="Cambria" w:eastAsia="Cambria" w:hAnsi="Cambria"/>
          <w:rtl w:val="0"/>
        </w:rPr>
        <w:t xml:space="preserve"> – Automatically retry or switch providers if a request fails, ensuring high availability for AI applications.</w:t>
      </w:r>
    </w:p>
    <w:p w:rsidR="00000000" w:rsidDel="00000000" w:rsidP="00000000" w:rsidRDefault="00000000" w:rsidRPr="00000000" w14:paraId="00000013">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Prompt Testing &amp; Experimentation</w:t>
      </w:r>
      <w:r w:rsidDel="00000000" w:rsidR="00000000" w:rsidRPr="00000000">
        <w:rPr>
          <w:rFonts w:ascii="Cambria" w:cs="Cambria" w:eastAsia="Cambria" w:hAnsi="Cambria"/>
          <w:rtl w:val="0"/>
        </w:rPr>
        <w:t xml:space="preserve"> – Iteratively test prompts across different models and compare outputs to improve quality and accuracy.</w:t>
      </w:r>
    </w:p>
    <w:p w:rsidR="00000000" w:rsidDel="00000000" w:rsidP="00000000" w:rsidRDefault="00000000" w:rsidRPr="00000000" w14:paraId="00000014">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Multimodal AI Applications</w:t>
      </w:r>
      <w:r w:rsidDel="00000000" w:rsidR="00000000" w:rsidRPr="00000000">
        <w:rPr>
          <w:rFonts w:ascii="Cambria" w:cs="Cambria" w:eastAsia="Cambria" w:hAnsi="Cambria"/>
          <w:rtl w:val="0"/>
        </w:rPr>
        <w:t xml:space="preserve"> – Build applications that support text and image inputs by integrating multiple providers through a single gateway.</w:t>
      </w:r>
    </w:p>
    <w:p w:rsidR="00000000" w:rsidDel="00000000" w:rsidP="00000000" w:rsidRDefault="00000000" w:rsidRPr="00000000" w14:paraId="00000015">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Observability &amp; Debugging Tools</w:t>
      </w:r>
      <w:r w:rsidDel="00000000" w:rsidR="00000000" w:rsidRPr="00000000">
        <w:rPr>
          <w:rFonts w:ascii="Cambria" w:cs="Cambria" w:eastAsia="Cambria" w:hAnsi="Cambria"/>
          <w:rtl w:val="0"/>
        </w:rPr>
        <w:t xml:space="preserve"> – Gain insights into request performance, latency, and errors with dashboards and analytics.</w:t>
      </w:r>
    </w:p>
    <w:p w:rsidR="00000000" w:rsidDel="00000000" w:rsidP="00000000" w:rsidRDefault="00000000" w:rsidRPr="00000000" w14:paraId="00000016">
      <w:pPr>
        <w:numPr>
          <w:ilvl w:val="0"/>
          <w:numId w:val="16"/>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Scalable AI Integrations</w:t>
      </w:r>
      <w:r w:rsidDel="00000000" w:rsidR="00000000" w:rsidRPr="00000000">
        <w:rPr>
          <w:rFonts w:ascii="Cambria" w:cs="Cambria" w:eastAsia="Cambria" w:hAnsi="Cambria"/>
          <w:rtl w:val="0"/>
        </w:rPr>
        <w:t xml:space="preserve"> – Easily integrate AI into web and mobile applications using REST APIs without managing multiple provider SDKs.</w:t>
      </w:r>
      <w:r w:rsidDel="00000000" w:rsidR="00000000" w:rsidRPr="00000000">
        <w:rPr>
          <w:rFonts w:ascii="Cambria" w:cs="Cambria" w:eastAsia="Cambria" w:hAnsi="Cambria"/>
          <w:rtl w:val="0"/>
        </w:rPr>
        <w:t xml:space="preserve"> </w:t>
      </w:r>
    </w:p>
    <w:p w:rsidR="00000000" w:rsidDel="00000000" w:rsidP="00000000" w:rsidRDefault="00000000" w:rsidRPr="00000000" w14:paraId="00000017">
      <w:pPr>
        <w:pStyle w:val="Heading2"/>
        <w:keepNext w:val="0"/>
        <w:keepLines w:val="0"/>
        <w:numPr>
          <w:ilvl w:val="1"/>
          <w:numId w:val="11"/>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18">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Multiple Model Access:</w:t>
        <w:br w:type="textWrapping"/>
      </w:r>
      <w:r w:rsidDel="00000000" w:rsidR="00000000" w:rsidRPr="00000000">
        <w:rPr>
          <w:rFonts w:ascii="Cambria" w:cs="Cambria" w:eastAsia="Cambria" w:hAnsi="Cambria"/>
          <w:rtl w:val="0"/>
        </w:rPr>
        <w:t xml:space="preserve"> Access a wide range of AI models from providers like OpenAI, Anthropic, Google, and open models such as Llama and Mistral through a single unified API gateway.</w:t>
      </w:r>
    </w:p>
    <w:p w:rsidR="00000000" w:rsidDel="00000000" w:rsidP="00000000" w:rsidRDefault="00000000" w:rsidRPr="00000000" w14:paraId="00000019">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Unified Text Generation &amp; Chat:</w:t>
        <w:br w:type="textWrapping"/>
      </w:r>
      <w:r w:rsidDel="00000000" w:rsidR="00000000" w:rsidRPr="00000000">
        <w:rPr>
          <w:rFonts w:ascii="Cambria" w:cs="Cambria" w:eastAsia="Cambria" w:hAnsi="Cambria"/>
          <w:rtl w:val="0"/>
        </w:rPr>
        <w:t xml:space="preserve"> Generate high-quality text, perform chat completions, summarization, and conversational AI interactions using an OpenAI-compatible API format.</w:t>
      </w:r>
    </w:p>
    <w:p w:rsidR="00000000" w:rsidDel="00000000" w:rsidP="00000000" w:rsidRDefault="00000000" w:rsidRPr="00000000" w14:paraId="0000001A">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Smart Model Routing:</w:t>
        <w:br w:type="textWrapping"/>
      </w:r>
      <w:r w:rsidDel="00000000" w:rsidR="00000000" w:rsidRPr="00000000">
        <w:rPr>
          <w:rFonts w:ascii="Cambria" w:cs="Cambria" w:eastAsia="Cambria" w:hAnsi="Cambria"/>
          <w:rtl w:val="0"/>
        </w:rPr>
        <w:t xml:space="preserve"> Dynamically route requests to different models or providers based on cost, latency, or performance requirements for optimized results.</w:t>
      </w:r>
    </w:p>
    <w:p w:rsidR="00000000" w:rsidDel="00000000" w:rsidP="00000000" w:rsidRDefault="00000000" w:rsidRPr="00000000" w14:paraId="0000001B">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Request Logging &amp; Observability:</w:t>
        <w:br w:type="textWrapping"/>
      </w:r>
      <w:r w:rsidDel="00000000" w:rsidR="00000000" w:rsidRPr="00000000">
        <w:rPr>
          <w:rFonts w:ascii="Cambria" w:cs="Cambria" w:eastAsia="Cambria" w:hAnsi="Cambria"/>
          <w:rtl w:val="0"/>
        </w:rPr>
        <w:t xml:space="preserve"> Track and monitor all API requests and responses with detailed logs, enabling debugging, auditing, and performance analysis.</w:t>
      </w:r>
    </w:p>
    <w:p w:rsidR="00000000" w:rsidDel="00000000" w:rsidP="00000000" w:rsidRDefault="00000000" w:rsidRPr="00000000" w14:paraId="0000001C">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Cost Tracking &amp; Usage Analytics:</w:t>
        <w:br w:type="textWrapping"/>
      </w:r>
      <w:r w:rsidDel="00000000" w:rsidR="00000000" w:rsidRPr="00000000">
        <w:rPr>
          <w:rFonts w:ascii="Cambria" w:cs="Cambria" w:eastAsia="Cambria" w:hAnsi="Cambria"/>
          <w:rtl w:val="0"/>
        </w:rPr>
        <w:t xml:space="preserve"> Monitor token usage, request counts, and overall costs across multiple providers to optimize budget and usage.</w:t>
      </w:r>
    </w:p>
    <w:p w:rsidR="00000000" w:rsidDel="00000000" w:rsidP="00000000" w:rsidRDefault="00000000" w:rsidRPr="00000000" w14:paraId="0000001D">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Caching &amp; Performance Optimization:</w:t>
        <w:br w:type="textWrapping"/>
      </w:r>
      <w:r w:rsidDel="00000000" w:rsidR="00000000" w:rsidRPr="00000000">
        <w:rPr>
          <w:rFonts w:ascii="Cambria" w:cs="Cambria" w:eastAsia="Cambria" w:hAnsi="Cambria"/>
          <w:rtl w:val="0"/>
        </w:rPr>
        <w:t xml:space="preserve"> Improve response time and reduce costs by caching repeated requests and reusing responses when applicable.</w:t>
      </w:r>
    </w:p>
    <w:p w:rsidR="00000000" w:rsidDel="00000000" w:rsidP="00000000" w:rsidRDefault="00000000" w:rsidRPr="00000000" w14:paraId="0000001E">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Failover &amp; Reliability Handling:</w:t>
        <w:br w:type="textWrapping"/>
      </w:r>
      <w:r w:rsidDel="00000000" w:rsidR="00000000" w:rsidRPr="00000000">
        <w:rPr>
          <w:rFonts w:ascii="Cambria" w:cs="Cambria" w:eastAsia="Cambria" w:hAnsi="Cambria"/>
          <w:rtl w:val="0"/>
        </w:rPr>
        <w:t xml:space="preserve"> Ensure high availability with automatic retries and fallback to alternative providers if a request fails.</w:t>
      </w:r>
    </w:p>
    <w:p w:rsidR="00000000" w:rsidDel="00000000" w:rsidP="00000000" w:rsidRDefault="00000000" w:rsidRPr="00000000" w14:paraId="0000001F">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OpenAI-Compatible REST API:</w:t>
        <w:br w:type="textWrapping"/>
      </w:r>
      <w:r w:rsidDel="00000000" w:rsidR="00000000" w:rsidRPr="00000000">
        <w:rPr>
          <w:rFonts w:ascii="Cambria" w:cs="Cambria" w:eastAsia="Cambria" w:hAnsi="Cambria"/>
          <w:rtl w:val="0"/>
        </w:rPr>
        <w:t xml:space="preserve"> Easily integrate with existing applications using standard HTTP requests and JSON responses without major code changes.</w:t>
      </w:r>
    </w:p>
    <w:p w:rsidR="00000000" w:rsidDel="00000000" w:rsidP="00000000" w:rsidRDefault="00000000" w:rsidRPr="00000000" w14:paraId="00000020">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Prompt Testing &amp; Experimentation:</w:t>
        <w:br w:type="textWrapping"/>
      </w:r>
      <w:r w:rsidDel="00000000" w:rsidR="00000000" w:rsidRPr="00000000">
        <w:rPr>
          <w:rFonts w:ascii="Cambria" w:cs="Cambria" w:eastAsia="Cambria" w:hAnsi="Cambria"/>
          <w:rtl w:val="0"/>
        </w:rPr>
        <w:t xml:space="preserve"> Test and compare prompts across multiple models to evaluate output quality and refine AI responses.</w:t>
      </w:r>
    </w:p>
    <w:p w:rsidR="00000000" w:rsidDel="00000000" w:rsidP="00000000" w:rsidRDefault="00000000" w:rsidRPr="00000000" w14:paraId="00000021">
      <w:pPr>
        <w:numPr>
          <w:ilvl w:val="0"/>
          <w:numId w:val="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Scalable &amp; Developer-Friendly:</w:t>
        <w:br w:type="textWrapping"/>
      </w:r>
      <w:r w:rsidDel="00000000" w:rsidR="00000000" w:rsidRPr="00000000">
        <w:rPr>
          <w:rFonts w:ascii="Cambria" w:cs="Cambria" w:eastAsia="Cambria" w:hAnsi="Cambria"/>
          <w:rtl w:val="0"/>
        </w:rPr>
        <w:t xml:space="preserve"> Provides a flexible and scalable infrastructure for building AI-powered applications without managing multiple APIs separately.</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22">
      <w:pPr>
        <w:pStyle w:val="Heading1"/>
        <w:keepNext w:val="0"/>
        <w:keepLines w:val="0"/>
        <w:numPr>
          <w:ilvl w:val="0"/>
          <w:numId w:val="11"/>
        </w:numPr>
        <w:spacing w:after="60" w:before="600" w:line="288" w:lineRule="auto"/>
        <w:ind w:left="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GETTING STARTED</w:t>
      </w:r>
    </w:p>
    <w:p w:rsidR="00000000" w:rsidDel="00000000" w:rsidP="00000000" w:rsidRDefault="00000000" w:rsidRPr="00000000" w14:paraId="00000023">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bookmarkStart w:colFirst="0" w:colLast="0" w:name="_xv7wdbnbkkx3" w:id="0"/>
      <w:bookmarkEnd w:id="0"/>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24">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bCs w:val="1"/>
          <w:rtl w:val="0"/>
        </w:rPr>
        <w:t xml:space="preserve">Helicone </w:t>
      </w:r>
      <w:r w:rsidDel="00000000" w:rsidR="00000000" w:rsidRPr="00000000">
        <w:rPr>
          <w:rFonts w:ascii="Cambria" w:cs="Cambria" w:eastAsia="Cambria" w:hAnsi="Cambria"/>
          <w:rtl w:val="0"/>
        </w:rPr>
        <w:t xml:space="preserve">Adapter, ensure you have the following: </w:t>
      </w:r>
    </w:p>
    <w:p w:rsidR="00000000" w:rsidDel="00000000" w:rsidP="00000000" w:rsidRDefault="00000000" w:rsidRPr="00000000" w14:paraId="00000025">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26">
      <w:pPr>
        <w:numPr>
          <w:ilvl w:val="0"/>
          <w:numId w:val="3"/>
        </w:numPr>
        <w:spacing w:line="259" w:lineRule="auto"/>
        <w:ind w:left="1080" w:hanging="360"/>
        <w:jc w:val="both"/>
        <w:rPr>
          <w:rFonts w:ascii="Cambria" w:cs="Cambria" w:eastAsia="Cambria" w:hAnsi="Cambria"/>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27">
      <w:pPr>
        <w:numPr>
          <w:ilvl w:val="0"/>
          <w:numId w:val="3"/>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Helicone </w:t>
      </w:r>
      <w:r w:rsidDel="00000000" w:rsidR="00000000" w:rsidRPr="00000000">
        <w:rPr>
          <w:rFonts w:ascii="Cambria" w:cs="Cambria" w:eastAsia="Cambria" w:hAnsi="Cambria"/>
          <w:rtl w:val="0"/>
        </w:rPr>
        <w:t xml:space="preserve">API Key Account </w:t>
      </w:r>
      <w:r w:rsidDel="00000000" w:rsidR="00000000" w:rsidRPr="00000000">
        <w:rPr>
          <w:rFonts w:ascii="Cambria" w:cs="Cambria" w:eastAsia="Cambria" w:hAnsi="Cambria"/>
          <w:sz w:val="20"/>
          <w:szCs w:val="20"/>
          <w:rtl w:val="0"/>
        </w:rPr>
        <w:t xml:space="preserve">- </w:t>
      </w:r>
      <w:hyperlink r:id="rId7">
        <w:r w:rsidDel="00000000" w:rsidR="00000000" w:rsidRPr="00000000">
          <w:rPr>
            <w:rFonts w:ascii="Cambria" w:cs="Cambria" w:eastAsia="Cambria" w:hAnsi="Cambria"/>
            <w:color w:val="1155cc"/>
            <w:u w:val="single"/>
            <w:rtl w:val="0"/>
          </w:rPr>
          <w:t xml:space="preserve">Get a Helicone API key</w:t>
        </w:r>
      </w:hyperlink>
      <w:r w:rsidDel="00000000" w:rsidR="00000000" w:rsidRPr="00000000">
        <w:rPr>
          <w:rFonts w:ascii="Cambria" w:cs="Cambria" w:eastAsia="Cambria" w:hAnsi="Cambria"/>
          <w:rtl w:val="0"/>
        </w:rPr>
        <w:br w:type="textWrapping"/>
      </w:r>
    </w:p>
    <w:p w:rsidR="00000000" w:rsidDel="00000000" w:rsidP="00000000" w:rsidRDefault="00000000" w:rsidRPr="00000000" w14:paraId="00000028">
      <w:pPr>
        <w:spacing w:line="259" w:lineRule="auto"/>
        <w:ind w:left="0" w:firstLine="72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Step 1: Create a Helicone Account</w:t>
      </w:r>
    </w:p>
    <w:p w:rsidR="00000000" w:rsidDel="00000000" w:rsidP="00000000" w:rsidRDefault="00000000" w:rsidRPr="00000000" w14:paraId="00000029">
      <w:pPr>
        <w:numPr>
          <w:ilvl w:val="0"/>
          <w:numId w:val="22"/>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the </w:t>
      </w:r>
      <w:hyperlink r:id="rId8">
        <w:r w:rsidDel="00000000" w:rsidR="00000000" w:rsidRPr="00000000">
          <w:rPr>
            <w:rFonts w:ascii="Cambria" w:cs="Cambria" w:eastAsia="Cambria" w:hAnsi="Cambria"/>
            <w:color w:val="1155cc"/>
            <w:u w:val="single"/>
            <w:rtl w:val="0"/>
          </w:rPr>
          <w:t xml:space="preserve">Helicone website</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2A">
      <w:pPr>
        <w:numPr>
          <w:ilvl w:val="0"/>
          <w:numId w:val="22"/>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up using your email, Google, or GitHub account.</w:t>
      </w:r>
    </w:p>
    <w:p w:rsidR="00000000" w:rsidDel="00000000" w:rsidP="00000000" w:rsidRDefault="00000000" w:rsidRPr="00000000" w14:paraId="0000002B">
      <w:pPr>
        <w:numPr>
          <w:ilvl w:val="0"/>
          <w:numId w:val="22"/>
        </w:numPr>
        <w:spacing w:after="24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Log in to access the Helicone Dashboard.</w:t>
      </w:r>
    </w:p>
    <w:p w:rsidR="00000000" w:rsidDel="00000000" w:rsidP="00000000" w:rsidRDefault="00000000" w:rsidRPr="00000000" w14:paraId="0000002C">
      <w:pPr>
        <w:keepNext w:val="0"/>
        <w:keepLines w:val="0"/>
        <w:spacing w:after="80" w:line="259"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Step 2: Generate a Helicone API Key</w:t>
      </w:r>
    </w:p>
    <w:p w:rsidR="00000000" w:rsidDel="00000000" w:rsidP="00000000" w:rsidRDefault="00000000" w:rsidRPr="00000000" w14:paraId="0000002D">
      <w:pPr>
        <w:numPr>
          <w:ilvl w:val="0"/>
          <w:numId w:val="23"/>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Go to the Dashboard.</w:t>
      </w:r>
    </w:p>
    <w:p w:rsidR="00000000" w:rsidDel="00000000" w:rsidP="00000000" w:rsidRDefault="00000000" w:rsidRPr="00000000" w14:paraId="0000002E">
      <w:pPr>
        <w:numPr>
          <w:ilvl w:val="0"/>
          <w:numId w:val="23"/>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Settings → API Keys.</w:t>
      </w:r>
    </w:p>
    <w:p w:rsidR="00000000" w:rsidDel="00000000" w:rsidP="00000000" w:rsidRDefault="00000000" w:rsidRPr="00000000" w14:paraId="0000002F">
      <w:pPr>
        <w:numPr>
          <w:ilvl w:val="0"/>
          <w:numId w:val="23"/>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on Create API Key.</w:t>
      </w:r>
    </w:p>
    <w:p w:rsidR="00000000" w:rsidDel="00000000" w:rsidP="00000000" w:rsidRDefault="00000000" w:rsidRPr="00000000" w14:paraId="00000030">
      <w:pPr>
        <w:numPr>
          <w:ilvl w:val="0"/>
          <w:numId w:val="23"/>
        </w:numPr>
        <w:spacing w:after="24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Copy and securely store the generated API key.</w:t>
      </w:r>
    </w:p>
    <w:p w:rsidR="00000000" w:rsidDel="00000000" w:rsidP="00000000" w:rsidRDefault="00000000" w:rsidRPr="00000000" w14:paraId="00000031">
      <w:pPr>
        <w:keepNext w:val="0"/>
        <w:keepLines w:val="0"/>
        <w:spacing w:after="80" w:line="259"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Step 3: Choose API Usage Method</w:t>
      </w:r>
    </w:p>
    <w:p w:rsidR="00000000" w:rsidDel="00000000" w:rsidP="00000000" w:rsidRDefault="00000000" w:rsidRPr="00000000" w14:paraId="00000032">
      <w:pPr>
        <w:spacing w:after="240" w:before="240" w:line="259"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Helicone supports two methods for using APIs:</w:t>
      </w:r>
    </w:p>
    <w:p w:rsidR="00000000" w:rsidDel="00000000" w:rsidP="00000000" w:rsidRDefault="00000000" w:rsidRPr="00000000" w14:paraId="00000033">
      <w:pPr>
        <w:keepNext w:val="0"/>
        <w:keepLines w:val="0"/>
        <w:spacing w:before="280" w:line="259"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Option A: Bring Your Own Key (BYOK) – Recommended</w:t>
      </w:r>
    </w:p>
    <w:p w:rsidR="00000000" w:rsidDel="00000000" w:rsidP="00000000" w:rsidRDefault="00000000" w:rsidRPr="00000000" w14:paraId="00000034">
      <w:pPr>
        <w:numPr>
          <w:ilvl w:val="0"/>
          <w:numId w:val="24"/>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Obtain an API key from your preferred provider:</w:t>
      </w:r>
    </w:p>
    <w:p w:rsidR="00000000" w:rsidDel="00000000" w:rsidP="00000000" w:rsidRDefault="00000000" w:rsidRPr="00000000" w14:paraId="00000035">
      <w:pPr>
        <w:numPr>
          <w:ilvl w:val="1"/>
          <w:numId w:val="24"/>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OpenAI</w:t>
      </w:r>
    </w:p>
    <w:p w:rsidR="00000000" w:rsidDel="00000000" w:rsidP="00000000" w:rsidRDefault="00000000" w:rsidRPr="00000000" w14:paraId="00000036">
      <w:pPr>
        <w:numPr>
          <w:ilvl w:val="1"/>
          <w:numId w:val="24"/>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Anthropic</w:t>
      </w:r>
    </w:p>
    <w:p w:rsidR="00000000" w:rsidDel="00000000" w:rsidP="00000000" w:rsidRDefault="00000000" w:rsidRPr="00000000" w14:paraId="00000037">
      <w:pPr>
        <w:numPr>
          <w:ilvl w:val="1"/>
          <w:numId w:val="24"/>
        </w:numPr>
        <w:spacing w:after="0" w:afterAutospacing="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Google</w:t>
      </w:r>
    </w:p>
    <w:p w:rsidR="00000000" w:rsidDel="00000000" w:rsidP="00000000" w:rsidRDefault="00000000" w:rsidRPr="00000000" w14:paraId="00000038">
      <w:pPr>
        <w:numPr>
          <w:ilvl w:val="0"/>
          <w:numId w:val="24"/>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 Helicone as a gateway by setting the base URL:</w:t>
        <w:br w:type="textWrapping"/>
        <w:br w:type="textWrapping"/>
        <w:t xml:space="preserve"> https://ai-gateway.helicone.ai/v1</w:t>
        <w:br w:type="textWrapping"/>
      </w:r>
    </w:p>
    <w:p w:rsidR="00000000" w:rsidDel="00000000" w:rsidP="00000000" w:rsidRDefault="00000000" w:rsidRPr="00000000" w14:paraId="00000039">
      <w:pPr>
        <w:numPr>
          <w:ilvl w:val="0"/>
          <w:numId w:val="24"/>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Include the following headers in your request:</w:t>
      </w:r>
      <w:r w:rsidDel="00000000" w:rsidR="00000000" w:rsidRPr="00000000">
        <w:rPr>
          <w:rtl w:val="0"/>
        </w:rPr>
      </w:r>
    </w:p>
    <w:p w:rsidR="00000000" w:rsidDel="00000000" w:rsidP="00000000" w:rsidRDefault="00000000" w:rsidRPr="00000000" w14:paraId="0000003A">
      <w:pPr>
        <w:numPr>
          <w:ilvl w:val="1"/>
          <w:numId w:val="24"/>
        </w:numPr>
        <w:spacing w:after="24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Helicone-Auth: Bearer &lt;HELICONE_API_KEY&gt;</w:t>
      </w:r>
    </w:p>
    <w:p w:rsidR="00000000" w:rsidDel="00000000" w:rsidP="00000000" w:rsidRDefault="00000000" w:rsidRPr="00000000" w14:paraId="0000003B">
      <w:pPr>
        <w:spacing w:line="259" w:lineRule="auto"/>
        <w:ind w:left="1080" w:hanging="360"/>
        <w:jc w:val="both"/>
        <w:rPr>
          <w:rFonts w:ascii="Cambria" w:cs="Cambria" w:eastAsia="Cambria" w:hAnsi="Cambria"/>
        </w:rPr>
      </w:pPr>
      <w:r w:rsidDel="00000000" w:rsidR="00000000" w:rsidRPr="00000000">
        <w:rPr>
          <w:rtl w:val="0"/>
        </w:rPr>
      </w:r>
    </w:p>
    <w:p w:rsidR="00000000" w:rsidDel="00000000" w:rsidP="00000000" w:rsidRDefault="00000000" w:rsidRPr="00000000" w14:paraId="0000003C">
      <w:pPr>
        <w:keepNext w:val="0"/>
        <w:keepLines w:val="0"/>
        <w:spacing w:before="280" w:line="259"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Option B: Helicone Managed API Key (Pass-through Billing)</w:t>
      </w:r>
    </w:p>
    <w:p w:rsidR="00000000" w:rsidDel="00000000" w:rsidP="00000000" w:rsidRDefault="00000000" w:rsidRPr="00000000" w14:paraId="0000003D">
      <w:pPr>
        <w:numPr>
          <w:ilvl w:val="0"/>
          <w:numId w:val="30"/>
        </w:numPr>
        <w:spacing w:after="0" w:afterAutospacing="0" w:before="24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Add billing details in the Helicone Dashboard.</w:t>
      </w:r>
    </w:p>
    <w:p w:rsidR="00000000" w:rsidDel="00000000" w:rsidP="00000000" w:rsidRDefault="00000000" w:rsidRPr="00000000" w14:paraId="0000003E">
      <w:pPr>
        <w:numPr>
          <w:ilvl w:val="0"/>
          <w:numId w:val="30"/>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 the generated Helicone API key directly.</w:t>
      </w:r>
    </w:p>
    <w:p w:rsidR="00000000" w:rsidDel="00000000" w:rsidP="00000000" w:rsidRDefault="00000000" w:rsidRPr="00000000" w14:paraId="0000003F">
      <w:pPr>
        <w:numPr>
          <w:ilvl w:val="0"/>
          <w:numId w:val="30"/>
        </w:numPr>
        <w:spacing w:after="0" w:afterAutospacing="0" w:before="0" w:beforeAutospacing="0" w:line="259" w:lineRule="auto"/>
        <w:ind w:left="1440" w:hanging="360"/>
        <w:rPr>
          <w:rFonts w:ascii="Cambria" w:cs="Cambria" w:eastAsia="Cambria" w:hAnsi="Cambria"/>
        </w:rPr>
      </w:pPr>
      <w:r w:rsidDel="00000000" w:rsidR="00000000" w:rsidRPr="00000000">
        <w:rPr>
          <w:rFonts w:ascii="Cambria" w:cs="Cambria" w:eastAsia="Cambria" w:hAnsi="Cambria"/>
          <w:rtl w:val="0"/>
        </w:rPr>
        <w:t xml:space="preserve">Include the following header in your request:</w:t>
      </w:r>
    </w:p>
    <w:p w:rsidR="00000000" w:rsidDel="00000000" w:rsidP="00000000" w:rsidRDefault="00000000" w:rsidRPr="00000000" w14:paraId="00000040">
      <w:pPr>
        <w:numPr>
          <w:ilvl w:val="1"/>
          <w:numId w:val="30"/>
        </w:numPr>
        <w:spacing w:after="240" w:before="0" w:beforeAutospacing="0" w:line="259" w:lineRule="auto"/>
        <w:ind w:left="2160" w:hanging="360"/>
        <w:rPr>
          <w:rFonts w:ascii="Cambria" w:cs="Cambria" w:eastAsia="Cambria" w:hAnsi="Cambria"/>
        </w:rPr>
      </w:pPr>
      <w:r w:rsidDel="00000000" w:rsidR="00000000" w:rsidRPr="00000000">
        <w:rPr>
          <w:rFonts w:ascii="Cambria" w:cs="Cambria" w:eastAsia="Cambria" w:hAnsi="Cambria"/>
          <w:rtl w:val="0"/>
        </w:rPr>
        <w:t xml:space="preserve">Authorization: Bearer &lt;HELICONE_API_KEY&gt;</w:t>
      </w:r>
      <w:r w:rsidDel="00000000" w:rsidR="00000000" w:rsidRPr="00000000">
        <w:rPr>
          <w:rtl w:val="0"/>
        </w:rPr>
      </w:r>
    </w:p>
    <w:p w:rsidR="00000000" w:rsidDel="00000000" w:rsidP="00000000" w:rsidRDefault="00000000" w:rsidRPr="00000000" w14:paraId="00000041">
      <w:pPr>
        <w:widowControl w:val="0"/>
        <w:spacing w:after="240" w:befor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2">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Importing the Data Adapter</w:t>
      </w:r>
    </w:p>
    <w:p w:rsidR="00000000" w:rsidDel="00000000" w:rsidP="00000000" w:rsidRDefault="00000000" w:rsidRPr="00000000" w14:paraId="00000043">
      <w:pPr>
        <w:pStyle w:val="Heading2"/>
        <w:keepNext w:val="0"/>
        <w:keepLines w:val="0"/>
        <w:spacing w:after="0" w:before="40" w:line="36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the Helicone Data Adapter into HCL Foundry directly from the Volt MX Forge website or by importing the data adapter zip file.</w:t>
      </w:r>
    </w:p>
    <w:p w:rsidR="00000000" w:rsidDel="00000000" w:rsidP="00000000" w:rsidRDefault="00000000" w:rsidRPr="00000000" w14:paraId="00000044">
      <w:pPr>
        <w:pStyle w:val="Heading2"/>
        <w:keepNext w:val="0"/>
        <w:keepLines w:val="0"/>
        <w:spacing w:after="0" w:before="40" w:line="36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w:t>
      </w:r>
      <w:r w:rsidDel="00000000" w:rsidR="00000000" w:rsidRPr="00000000">
        <w:rPr>
          <w:rFonts w:ascii="Cambria" w:cs="Cambria" w:eastAsia="Cambria" w:hAnsi="Cambria"/>
          <w:b w:val="1"/>
          <w:bCs w:val="1"/>
          <w:sz w:val="24"/>
          <w:szCs w:val="24"/>
          <w:highlight w:val="white"/>
          <w:rtl w:val="0"/>
        </w:rPr>
        <w:t xml:space="preserve">Data Adapter to Volt Foundry</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45">
      <w:pPr>
        <w:numPr>
          <w:ilvl w:val="0"/>
          <w:numId w:val="19"/>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hyperlink r:id="rId9">
        <w:r w:rsidDel="00000000" w:rsidR="00000000" w:rsidRPr="00000000">
          <w:rPr>
            <w:rFonts w:ascii="Cambria" w:cs="Cambria" w:eastAsia="Cambria" w:hAnsi="Cambria"/>
            <w:shd w:fill="e1e3e6" w:val="clear"/>
            <w:rtl w:val="0"/>
          </w:rPr>
          <w:t xml:space="preserve">HCL Foundry</w:t>
        </w:r>
      </w:hyperlink>
      <w:r w:rsidDel="00000000" w:rsidR="00000000" w:rsidRPr="00000000">
        <w:rPr>
          <w:rFonts w:ascii="Cambria" w:cs="Cambria" w:eastAsia="Cambria" w:hAnsi="Cambria"/>
          <w:shd w:fill="e1e3e6" w:val="clear"/>
          <w:rtl w:val="0"/>
        </w:rPr>
        <w:t xml:space="preserve">.</w:t>
      </w:r>
      <w:r w:rsidDel="00000000" w:rsidR="00000000" w:rsidRPr="00000000">
        <w:rPr>
          <w:rtl w:val="0"/>
        </w:rPr>
      </w:r>
    </w:p>
    <w:p w:rsidR="00000000" w:rsidDel="00000000" w:rsidP="00000000" w:rsidRDefault="00000000" w:rsidRPr="00000000" w14:paraId="00000046">
      <w:pPr>
        <w:numPr>
          <w:ilvl w:val="0"/>
          <w:numId w:val="9"/>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47">
      <w:pPr>
        <w:numPr>
          <w:ilvl w:val="0"/>
          <w:numId w:val="14"/>
        </w:numPr>
        <w:spacing w:after="280" w:before="280" w:line="240" w:lineRule="auto"/>
        <w:ind w:left="99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4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49">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252913" cy="1905000"/>
            <wp:effectExtent b="0" l="0" r="0" t="0"/>
            <wp:docPr descr="A screenshot of a computer&#10;&#10;Description automatically generated" id="1" name="image6.png"/>
            <a:graphic>
              <a:graphicData uri="http://schemas.openxmlformats.org/drawingml/2006/picture">
                <pic:pic>
                  <pic:nvPicPr>
                    <pic:cNvPr descr="A screenshot of a computer&#10;&#10;Description automatically generated" id="0" name="image6.png"/>
                    <pic:cNvPicPr preferRelativeResize="0"/>
                  </pic:nvPicPr>
                  <pic:blipFill>
                    <a:blip r:embed="rId10"/>
                    <a:srcRect b="0" l="0" r="0" t="0"/>
                    <a:stretch>
                      <a:fillRect/>
                    </a:stretch>
                  </pic:blipFill>
                  <pic:spPr>
                    <a:xfrm>
                      <a:off x="0" y="0"/>
                      <a:ext cx="4252913"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120" w:line="360" w:lineRule="auto"/>
        <w:ind w:left="144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4B">
      <w:pPr>
        <w:spacing w:before="40" w:line="360" w:lineRule="auto"/>
        <w:ind w:left="63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4. </w:t>
      </w: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to import a custom data adapter.</w:t>
      </w:r>
    </w:p>
    <w:p w:rsidR="00000000" w:rsidDel="00000000" w:rsidP="00000000" w:rsidRDefault="00000000" w:rsidRPr="00000000" w14:paraId="0000004C">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8" name="image5.png"/>
            <a:graphic>
              <a:graphicData uri="http://schemas.openxmlformats.org/drawingml/2006/picture">
                <pic:pic>
                  <pic:nvPicPr>
                    <pic:cNvPr descr="A blue and white box with text&#10;&#10;Description automatically generated" id="0" name="image5.png"/>
                    <pic:cNvPicPr preferRelativeResize="0"/>
                  </pic:nvPicPr>
                  <pic:blipFill>
                    <a:blip r:embed="rId11"/>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280" w:before="280" w:line="240" w:lineRule="auto"/>
        <w:ind w:left="630" w:firstLine="0"/>
        <w:rPr>
          <w:rFonts w:ascii="Cambria" w:cs="Cambria" w:eastAsia="Cambria" w:hAnsi="Cambria"/>
          <w:sz w:val="24"/>
          <w:szCs w:val="24"/>
        </w:rPr>
      </w:pPr>
      <w:r w:rsidDel="00000000" w:rsidR="00000000" w:rsidRPr="00000000">
        <w:rPr>
          <w:rFonts w:ascii="Cambria" w:cs="Cambria" w:eastAsia="Cambria" w:hAnsi="Cambria"/>
          <w:color w:val="30353f"/>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04E">
      <w:pPr>
        <w:pStyle w:val="Heading2"/>
        <w:keepNext w:val="0"/>
        <w:keepLines w:val="0"/>
        <w:spacing w:after="0" w:before="40" w:line="360" w:lineRule="auto"/>
        <w:ind w:left="360" w:firstLine="360"/>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6850" cy="2047433"/>
            <wp:effectExtent b="0" l="0" r="0" t="0"/>
            <wp:docPr descr="A screen shot of a computer&#10;&#10;Description automatically generated" id="3" name="image2.png"/>
            <a:graphic>
              <a:graphicData uri="http://schemas.openxmlformats.org/drawingml/2006/picture">
                <pic:pic>
                  <pic:nvPicPr>
                    <pic:cNvPr descr="A screen shot of a computer&#10;&#10;Description automatically generated" id="0" name="image2.png"/>
                    <pic:cNvPicPr preferRelativeResize="0"/>
                  </pic:nvPicPr>
                  <pic:blipFill>
                    <a:blip r:embed="rId12"/>
                    <a:srcRect b="0" l="0" r="0" t="0"/>
                    <a:stretch>
                      <a:fillRect/>
                    </a:stretch>
                  </pic:blipFill>
                  <pic:spPr>
                    <a:xfrm>
                      <a:off x="0" y="0"/>
                      <a:ext cx="5276850" cy="2047433"/>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ind w:left="720" w:firstLine="0"/>
        <w:rPr>
          <w:rFonts w:ascii="Cambria" w:cs="Cambria" w:eastAsia="Cambria" w:hAnsi="Cambria"/>
        </w:rPr>
      </w:pPr>
      <w:r w:rsidDel="00000000" w:rsidR="00000000" w:rsidRPr="00000000">
        <w:rPr>
          <w:rFonts w:ascii="Cambria" w:cs="Cambria" w:eastAsia="Cambria" w:hAnsi="Cambria"/>
          <w:rtl w:val="0"/>
        </w:rPr>
        <w:tab/>
      </w:r>
      <w:r w:rsidDel="00000000" w:rsidR="00000000" w:rsidRPr="00000000">
        <w:rPr>
          <w:rFonts w:ascii="Cambria" w:cs="Cambria" w:eastAsia="Cambria" w:hAnsi="Cambria"/>
        </w:rPr>
        <w:drawing>
          <wp:inline distB="114300" distT="114300" distL="114300" distR="114300">
            <wp:extent cx="5329238" cy="3495675"/>
            <wp:effectExtent b="0" l="0" r="0" t="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329238" cy="3495675"/>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pStyle w:val="Heading2"/>
        <w:keepNext w:val="0"/>
        <w:keepLines w:val="0"/>
        <w:spacing w:after="0" w:before="40" w:line="360" w:lineRule="auto"/>
        <w:ind w:left="720" w:hanging="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1">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6. 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52">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2e2e2e"/>
          <w:rtl w:val="0"/>
        </w:rPr>
        <w:t xml:space="preserve">Helicone Data adapter </w:t>
      </w:r>
      <w:r w:rsidDel="00000000" w:rsidR="00000000" w:rsidRPr="00000000">
        <w:rPr>
          <w:rFonts w:ascii="Cambria" w:cs="Cambria" w:eastAsia="Cambria" w:hAnsi="Cambria"/>
          <w:color w:val="30353f"/>
          <w:rtl w:val="0"/>
        </w:rPr>
        <w:t xml:space="preserve">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53">
      <w:pPr>
        <w:spacing w:after="280" w:before="280"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181100"/>
            <wp:effectExtent b="0" l="0" r="0" t="0"/>
            <wp:docPr id="9"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943600"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120" w:before="120" w:line="360" w:lineRule="auto"/>
        <w:ind w:left="72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Pr>
        <w:drawing>
          <wp:inline distB="114300" distT="114300" distL="114300" distR="114300">
            <wp:extent cx="5943600" cy="3060700"/>
            <wp:effectExtent b="0" l="0" r="0" t="0"/>
            <wp:docPr id="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43600" cy="30607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120" w:before="120" w:line="360" w:lineRule="auto"/>
        <w:ind w:left="720" w:firstLine="0"/>
        <w:jc w:val="both"/>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56">
      <w:pPr>
        <w:numPr>
          <w:ilvl w:val="0"/>
          <w:numId w:val="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57">
      <w:pPr>
        <w:numPr>
          <w:ilvl w:val="0"/>
          <w:numId w:val="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58">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59">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5A">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5B">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r w:rsidDel="00000000" w:rsidR="00000000" w:rsidRPr="00000000">
        <w:rPr>
          <w:rtl w:val="0"/>
        </w:rPr>
      </w:r>
    </w:p>
    <w:p w:rsidR="00000000" w:rsidDel="00000000" w:rsidP="00000000" w:rsidRDefault="00000000" w:rsidRPr="00000000" w14:paraId="0000005C">
      <w:pPr>
        <w:spacing w:after="120" w:before="120" w:line="360" w:lineRule="auto"/>
        <w:ind w:left="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D">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    C. </w:t>
      </w:r>
      <w:r w:rsidDel="00000000" w:rsidR="00000000" w:rsidRPr="00000000">
        <w:rPr>
          <w:rFonts w:ascii="Cambria" w:cs="Cambria" w:eastAsia="Cambria" w:hAnsi="Cambria"/>
          <w:b w:val="1"/>
          <w:bCs w:val="1"/>
          <w:color w:val="30353f"/>
          <w:sz w:val="28"/>
          <w:szCs w:val="28"/>
          <w:rtl w:val="0"/>
        </w:rPr>
        <w:t xml:space="preserve">Creating an Integration Service with Helicone:</w:t>
      </w:r>
      <w:r w:rsidDel="00000000" w:rsidR="00000000" w:rsidRPr="00000000">
        <w:rPr>
          <w:rtl w:val="0"/>
        </w:rPr>
      </w:r>
    </w:p>
    <w:p w:rsidR="00000000" w:rsidDel="00000000" w:rsidP="00000000" w:rsidRDefault="00000000" w:rsidRPr="00000000" w14:paraId="0000005E">
      <w:pPr>
        <w:spacing w:after="120" w:before="120" w:line="360" w:lineRule="auto"/>
        <w:ind w:left="36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b w:val="1"/>
          <w:bCs w:val="1"/>
          <w:color w:val="0f141a"/>
          <w:shd w:fill="f9fafc" w:val="clear"/>
          <w:rtl w:val="0"/>
        </w:rPr>
        <w:t xml:space="preserve">Helicone </w:t>
      </w:r>
      <w:r w:rsidDel="00000000" w:rsidR="00000000" w:rsidRPr="00000000">
        <w:rPr>
          <w:rFonts w:ascii="Cambria" w:cs="Cambria" w:eastAsia="Cambria" w:hAnsi="Cambria"/>
          <w:color w:val="30353f"/>
          <w:rtl w:val="0"/>
        </w:rPr>
        <w:t xml:space="preserve">Data Adapter into Foundry, you must create an integration service with service type Helicone.</w:t>
      </w:r>
    </w:p>
    <w:p w:rsidR="00000000" w:rsidDel="00000000" w:rsidP="00000000" w:rsidRDefault="00000000" w:rsidRPr="00000000" w14:paraId="0000005F">
      <w:pPr>
        <w:spacing w:after="120" w:before="120" w:line="360" w:lineRule="auto"/>
        <w:ind w:left="36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Helicone, do the following:</w:t>
      </w:r>
    </w:p>
    <w:p w:rsidR="00000000" w:rsidDel="00000000" w:rsidP="00000000" w:rsidRDefault="00000000" w:rsidRPr="00000000" w14:paraId="00000060">
      <w:pPr>
        <w:numPr>
          <w:ilvl w:val="0"/>
          <w:numId w:val="21"/>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6">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61">
      <w:pPr>
        <w:numPr>
          <w:ilvl w:val="0"/>
          <w:numId w:val="26"/>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62">
      <w:pPr>
        <w:numPr>
          <w:ilvl w:val="0"/>
          <w:numId w:val="5"/>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63">
      <w:pPr>
        <w:numPr>
          <w:ilvl w:val="0"/>
          <w:numId w:val="2"/>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64">
      <w:pPr>
        <w:numPr>
          <w:ilvl w:val="0"/>
          <w:numId w:val="27"/>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65">
      <w:pPr>
        <w:numPr>
          <w:ilvl w:val="0"/>
          <w:numId w:val="27"/>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w:t>
      </w:r>
      <w:r w:rsidDel="00000000" w:rsidR="00000000" w:rsidRPr="00000000">
        <w:rPr>
          <w:rFonts w:ascii="Cambria" w:cs="Cambria" w:eastAsia="Cambria" w:hAnsi="Cambria"/>
          <w:b w:val="1"/>
          <w:bCs w:val="1"/>
          <w:color w:val="30353f"/>
          <w:rtl w:val="0"/>
        </w:rPr>
        <w:t xml:space="preserve"> Helicone</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30353f"/>
          <w:sz w:val="20"/>
          <w:szCs w:val="20"/>
          <w:rtl w:val="0"/>
        </w:rPr>
        <w:br w:type="textWrapping"/>
        <w:t xml:space="preserve">     </w:t>
      </w:r>
      <w:r w:rsidDel="00000000" w:rsidR="00000000" w:rsidRPr="00000000">
        <w:rPr>
          <w:rFonts w:ascii="Cambria" w:cs="Cambria" w:eastAsia="Cambria" w:hAnsi="Cambria"/>
          <w:color w:val="30353f"/>
          <w:sz w:val="20"/>
          <w:szCs w:val="20"/>
        </w:rPr>
        <w:drawing>
          <wp:inline distB="114300" distT="114300" distL="114300" distR="114300">
            <wp:extent cx="5348288" cy="3228975"/>
            <wp:effectExtent b="0" l="0" r="0" t="0"/>
            <wp:docPr id="11"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5348288" cy="32289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numPr>
          <w:ilvl w:val="0"/>
          <w:numId w:val="27"/>
        </w:numPr>
        <w:spacing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p>
    <w:p w:rsidR="00000000" w:rsidDel="00000000" w:rsidP="00000000" w:rsidRDefault="00000000" w:rsidRPr="00000000" w14:paraId="00000067">
      <w:pPr>
        <w:spacing w:line="360" w:lineRule="auto"/>
        <w:jc w:val="both"/>
        <w:rPr>
          <w:rFonts w:ascii="Cambria" w:cs="Cambria" w:eastAsia="Cambria" w:hAnsi="Cambria"/>
          <w:b w:val="1"/>
          <w:bCs w:val="1"/>
          <w:color w:val="30353f"/>
        </w:rPr>
      </w:pPr>
      <w:r w:rsidDel="00000000" w:rsidR="00000000" w:rsidRPr="00000000">
        <w:rPr>
          <w:rtl w:val="0"/>
        </w:rPr>
      </w:r>
    </w:p>
    <w:p w:rsidR="00000000" w:rsidDel="00000000" w:rsidP="00000000" w:rsidRDefault="00000000" w:rsidRPr="00000000" w14:paraId="00000068">
      <w:pPr>
        <w:spacing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D. Creating an Operation</w:t>
      </w:r>
      <w:r w:rsidDel="00000000" w:rsidR="00000000" w:rsidRPr="00000000">
        <w:rPr>
          <w:rtl w:val="0"/>
        </w:rPr>
      </w:r>
    </w:p>
    <w:p w:rsidR="00000000" w:rsidDel="00000000" w:rsidP="00000000" w:rsidRDefault="00000000" w:rsidRPr="00000000" w14:paraId="00000069">
      <w:pPr>
        <w:spacing w:after="120" w:before="120" w:line="360" w:lineRule="auto"/>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6A">
      <w:pPr>
        <w:spacing w:after="120" w:before="120" w:line="360" w:lineRule="auto"/>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b w:val="1"/>
          <w:bCs w:val="1"/>
          <w:color w:val="0f141a"/>
          <w:shd w:fill="f9fafc" w:val="clear"/>
          <w:rtl w:val="0"/>
        </w:rPr>
        <w:t xml:space="preserve">Helicone</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B">
      <w:pPr>
        <w:spacing w:after="120" w:before="120" w:line="360" w:lineRule="auto"/>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b w:val="1"/>
          <w:bCs w:val="1"/>
          <w:color w:val="30353f"/>
          <w:rtl w:val="0"/>
        </w:rPr>
        <w:t xml:space="preserve">Helicone</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C">
      <w:pPr>
        <w:numPr>
          <w:ilvl w:val="0"/>
          <w:numId w:val="1"/>
        </w:numPr>
        <w:spacing w:after="280"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8">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6D">
      <w:pPr>
        <w:numPr>
          <w:ilvl w:val="0"/>
          <w:numId w:val="15"/>
        </w:numPr>
        <w:spacing w:after="280"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6E">
      <w:pPr>
        <w:numPr>
          <w:ilvl w:val="0"/>
          <w:numId w:val="17"/>
        </w:numPr>
        <w:spacing w:after="280"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6F">
      <w:pPr>
        <w:numPr>
          <w:ilvl w:val="0"/>
          <w:numId w:val="29"/>
        </w:numPr>
        <w:spacing w:after="280"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the service type </w:t>
      </w:r>
      <w:r w:rsidDel="00000000" w:rsidR="00000000" w:rsidRPr="00000000">
        <w:rPr>
          <w:rFonts w:ascii="Cambria" w:cs="Cambria" w:eastAsia="Cambria" w:hAnsi="Cambria"/>
          <w:b w:val="1"/>
          <w:bCs w:val="1"/>
          <w:color w:val="30353f"/>
          <w:rtl w:val="0"/>
        </w:rPr>
        <w:t xml:space="preserve">Helicone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70">
      <w:pPr>
        <w:numPr>
          <w:ilvl w:val="0"/>
          <w:numId w:val="6"/>
        </w:numPr>
        <w:spacing w:after="280"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71">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148206" cy="2805113"/>
            <wp:effectExtent b="0" l="0" r="0" t="0"/>
            <wp:docPr id="5"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5148206" cy="2805113"/>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after="280" w:before="280" w:line="360" w:lineRule="auto"/>
        <w:ind w:left="720" w:firstLine="0"/>
        <w:jc w:val="both"/>
        <w:rPr>
          <w:rFonts w:ascii="Cambria" w:cs="Cambria" w:eastAsia="Cambria" w:hAnsi="Cambria"/>
          <w:b w:val="1"/>
          <w:bCs w:val="1"/>
          <w:color w:val="30353f"/>
        </w:rPr>
      </w:pPr>
      <w:r w:rsidDel="00000000" w:rsidR="00000000" w:rsidRPr="00000000">
        <w:rPr>
          <w:rFonts w:ascii="Cambria" w:cs="Cambria" w:eastAsia="Cambria" w:hAnsi="Cambria"/>
          <w:b w:val="1"/>
          <w:bCs w:val="1"/>
          <w:color w:val="30353f"/>
        </w:rPr>
        <w:drawing>
          <wp:inline distB="114300" distT="114300" distL="114300" distR="114300">
            <wp:extent cx="5943600" cy="1866900"/>
            <wp:effectExtent b="0" l="0" r="0" t="0"/>
            <wp:docPr id="10"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943600" cy="18669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numPr>
          <w:ilvl w:val="0"/>
          <w:numId w:val="6"/>
        </w:numPr>
        <w:spacing w:after="280"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All the operations. </w:t>
      </w:r>
      <w:r w:rsidDel="00000000" w:rsidR="00000000" w:rsidRPr="00000000">
        <w:rPr>
          <w:rFonts w:ascii="Cambria" w:cs="Cambria" w:eastAsia="Cambria" w:hAnsi="Cambria"/>
          <w:rtl w:val="0"/>
        </w:rPr>
        <w:t xml:space="preserve">Click Add Operations.</w:t>
      </w:r>
    </w:p>
    <w:p w:rsidR="00000000" w:rsidDel="00000000" w:rsidP="00000000" w:rsidRDefault="00000000" w:rsidRPr="00000000" w14:paraId="00000074">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E. Executing  Operation</w:t>
      </w:r>
      <w:r w:rsidDel="00000000" w:rsidR="00000000" w:rsidRPr="00000000">
        <w:rPr>
          <w:rtl w:val="0"/>
        </w:rPr>
      </w:r>
    </w:p>
    <w:p w:rsidR="00000000" w:rsidDel="00000000" w:rsidP="00000000" w:rsidRDefault="00000000" w:rsidRPr="00000000" w14:paraId="00000075">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 </w:t>
      </w:r>
      <w:r w:rsidDel="00000000" w:rsidR="00000000" w:rsidRPr="00000000">
        <w:rPr>
          <w:rFonts w:ascii="Cambria" w:cs="Cambria" w:eastAsia="Cambria" w:hAnsi="Cambria"/>
          <w:b w:val="1"/>
          <w:bCs w:val="1"/>
          <w:color w:val="30353f"/>
          <w:rtl w:val="0"/>
        </w:rPr>
        <w:t xml:space="preserve">createChatCompletion</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76">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translateText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77">
      <w:pPr>
        <w:numPr>
          <w:ilvl w:val="0"/>
          <w:numId w:val="1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21">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78">
      <w:pPr>
        <w:numPr>
          <w:ilvl w:val="0"/>
          <w:numId w:val="1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79">
      <w:pPr>
        <w:numPr>
          <w:ilvl w:val="0"/>
          <w:numId w:val="2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7A">
      <w:pPr>
        <w:numPr>
          <w:ilvl w:val="0"/>
          <w:numId w:val="28"/>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Helicone.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7B">
      <w:pPr>
        <w:numPr>
          <w:ilvl w:val="0"/>
          <w:numId w:val="10"/>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7C">
      <w:pPr>
        <w:numPr>
          <w:ilvl w:val="0"/>
          <w:numId w:val="10"/>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7D">
      <w:pPr>
        <w:numPr>
          <w:ilvl w:val="0"/>
          <w:numId w:val="10"/>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7E">
      <w:pPr>
        <w:spacing w:after="280" w:before="28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sz w:val="20"/>
          <w:szCs w:val="20"/>
        </w:rPr>
        <w:drawing>
          <wp:inline distB="114300" distT="114300" distL="114300" distR="114300">
            <wp:extent cx="5943600" cy="3822700"/>
            <wp:effectExtent b="0" l="0" r="0" t="0"/>
            <wp:docPr id="13"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5943600" cy="3822700"/>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tbl>
      <w:tblPr>
        <w:tblStyle w:val="Table1"/>
        <w:tblW w:w="9090.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065"/>
        <w:gridCol w:w="3450"/>
        <w:tblGridChange w:id="0">
          <w:tblGrid>
            <w:gridCol w:w="1575"/>
            <w:gridCol w:w="4065"/>
            <w:gridCol w:w="3450"/>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which AI model to use for the request. Available models depend on your Scaleway configuration.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"gemini-2.5-flash"</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messages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Array of conversation messages. Each message must include a role (system, user, or assistant) and content.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line="240" w:lineRule="auto"/>
              <w:rPr>
                <w:rFonts w:ascii="Cambria" w:cs="Cambria" w:eastAsia="Cambria" w:hAnsi="Cambria"/>
              </w:rPr>
            </w:pPr>
            <w:r w:rsidDel="00000000" w:rsidR="00000000" w:rsidRPr="00000000">
              <w:rPr>
                <w:rFonts w:ascii="Cambria" w:cs="Cambria" w:eastAsia="Cambria" w:hAnsi="Cambria"/>
                <w:rtl w:val="0"/>
              </w:rPr>
              <w:t xml:space="preserve">"messages": [</w:t>
            </w:r>
          </w:p>
          <w:p w:rsidR="00000000" w:rsidDel="00000000" w:rsidP="00000000" w:rsidRDefault="00000000" w:rsidRPr="00000000" w14:paraId="00000088">
            <w:pPr>
              <w:spacing w:line="240" w:lineRule="auto"/>
              <w:rPr>
                <w:rFonts w:ascii="Cambria" w:cs="Cambria" w:eastAsia="Cambria" w:hAnsi="Cambria"/>
              </w:rPr>
            </w:pPr>
            <w:r w:rsidDel="00000000" w:rsidR="00000000" w:rsidRPr="00000000">
              <w:rPr>
                <w:rFonts w:ascii="Cambria" w:cs="Cambria" w:eastAsia="Cambria" w:hAnsi="Cambria"/>
                <w:rtl w:val="0"/>
              </w:rPr>
              <w:t xml:space="preserve">      { "role": "system", "content": "You are a helpful assistant." },</w:t>
            </w:r>
          </w:p>
          <w:p w:rsidR="00000000" w:rsidDel="00000000" w:rsidP="00000000" w:rsidRDefault="00000000" w:rsidRPr="00000000" w14:paraId="00000089">
            <w:pPr>
              <w:spacing w:line="240" w:lineRule="auto"/>
              <w:rPr>
                <w:rFonts w:ascii="Cambria" w:cs="Cambria" w:eastAsia="Cambria" w:hAnsi="Cambria"/>
              </w:rPr>
            </w:pPr>
            <w:r w:rsidDel="00000000" w:rsidR="00000000" w:rsidRPr="00000000">
              <w:rPr>
                <w:rFonts w:ascii="Cambria" w:cs="Cambria" w:eastAsia="Cambria" w:hAnsi="Cambria"/>
                <w:rtl w:val="0"/>
              </w:rPr>
              <w:t xml:space="preserve">      { "role": "user", "content": "Say hello in one sentence." }</w:t>
            </w:r>
          </w:p>
          <w:p w:rsidR="00000000" w:rsidDel="00000000" w:rsidP="00000000" w:rsidRDefault="00000000" w:rsidRPr="00000000" w14:paraId="0000008A">
            <w:pPr>
              <w:spacing w:line="240" w:lineRule="auto"/>
              <w:rPr>
                <w:rFonts w:ascii="Cambria" w:cs="Cambria" w:eastAsia="Cambria" w:hAnsi="Cambria"/>
              </w:rPr>
            </w:pPr>
            <w:r w:rsidDel="00000000" w:rsidR="00000000" w:rsidRPr="00000000">
              <w:rPr>
                <w:rFonts w:ascii="Cambria" w:cs="Cambria" w:eastAsia="Cambria" w:hAnsi="Cambria"/>
                <w:rtl w:val="0"/>
              </w:rPr>
              <w:t xml:space="preserve">    ]</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Controls randomness of output. Lower values produce deterministic responses; higher values increase creativity.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0.7</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before="28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F">
            <w:pPr>
              <w:spacing w:line="240" w:lineRule="auto"/>
              <w:rPr>
                <w:rFonts w:ascii="Cambria" w:cs="Cambria" w:eastAsia="Cambria" w:hAnsi="Cambria"/>
              </w:rPr>
            </w:pPr>
            <w:r w:rsidDel="00000000" w:rsidR="00000000" w:rsidRPr="00000000">
              <w:rPr>
                <w:rFonts w:ascii="Cambria" w:cs="Cambria" w:eastAsia="Cambria" w:hAnsi="Cambria"/>
                <w:rtl w:val="0"/>
              </w:rPr>
              <w:t xml:space="preserve">max_completion_tokens</w:t>
            </w:r>
          </w:p>
          <w:p w:rsidR="00000000" w:rsidDel="00000000" w:rsidP="00000000" w:rsidRDefault="00000000" w:rsidRPr="00000000" w14:paraId="00000090">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Maximum number of tokens the model can generate in the response.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40" w:lineRule="auto"/>
              <w:rPr>
                <w:rFonts w:ascii="Cambria" w:cs="Cambria" w:eastAsia="Cambria" w:hAnsi="Cambria"/>
              </w:rPr>
            </w:pPr>
            <w:r w:rsidDel="00000000" w:rsidR="00000000" w:rsidRPr="00000000">
              <w:rPr>
                <w:rFonts w:ascii="Cambria" w:cs="Cambria" w:eastAsia="Cambria" w:hAnsi="Cambria"/>
                <w:rtl w:val="0"/>
              </w:rPr>
              <w:t xml:space="preserve">-9007199254740991 &lt;= x &lt;= 9007199254740991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Nucleus sampling parameter that controls diversity by limiting token selection to a probability mass.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Enables real-time streaming response when set to true.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true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sequences where the API will stop generating further tokens.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["\n", "###"]</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new tokens based on whether they appear in the text so far, encouraging new topics.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0.6</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repeated tokens based on their frequency in the text so far.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0.5</w:t>
            </w:r>
          </w:p>
          <w:p w:rsidR="00000000" w:rsidDel="00000000" w:rsidP="00000000" w:rsidRDefault="00000000" w:rsidRPr="00000000" w14:paraId="000000A2">
            <w:pPr>
              <w:spacing w:before="280" w:line="360" w:lineRule="auto"/>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A3">
      <w:pPr>
        <w:spacing w:after="240" w:before="2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Additionally, the messages parameter (array of objects) must be passed completely within the messages value as a properly structured JSON array.</w:t>
      </w:r>
    </w:p>
    <w:p w:rsidR="00000000" w:rsidDel="00000000" w:rsidP="00000000" w:rsidRDefault="00000000" w:rsidRPr="00000000" w14:paraId="000000A4">
      <w:pPr>
        <w:numPr>
          <w:ilvl w:val="0"/>
          <w:numId w:val="8"/>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A5">
      <w:pPr>
        <w:numPr>
          <w:ilvl w:val="0"/>
          <w:numId w:val="25"/>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prerequisites section</w:t>
      </w:r>
    </w:p>
    <w:p w:rsidR="00000000" w:rsidDel="00000000" w:rsidP="00000000" w:rsidRDefault="00000000" w:rsidRPr="00000000" w14:paraId="000000A6">
      <w:pPr>
        <w:numPr>
          <w:ilvl w:val="0"/>
          <w:numId w:val="25"/>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Authorization: Bearer &lt;YOUR_API_KEY&gt;</w:t>
      </w:r>
      <w:r w:rsidDel="00000000" w:rsidR="00000000" w:rsidRPr="00000000">
        <w:rPr>
          <w:rtl w:val="0"/>
        </w:rPr>
      </w:r>
    </w:p>
    <w:p w:rsidR="00000000" w:rsidDel="00000000" w:rsidP="00000000" w:rsidRDefault="00000000" w:rsidRPr="00000000" w14:paraId="000000A7">
      <w:pPr>
        <w:spacing w:after="280" w:before="280"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2882900"/>
            <wp:effectExtent b="0" l="0" r="0" t="0"/>
            <wp:docPr id="7"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59436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A9">
      <w:pPr>
        <w:numPr>
          <w:ilvl w:val="0"/>
          <w:numId w:val="10"/>
        </w:numPr>
        <w:spacing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AA">
      <w:pPr>
        <w:spacing w:after="280" w:line="36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590800"/>
            <wp:effectExtent b="0" l="0" r="0" t="0"/>
            <wp:docPr id="4"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59436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AC">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color w:val="30353f"/>
          <w:sz w:val="28"/>
          <w:szCs w:val="28"/>
          <w:rtl w:val="0"/>
        </w:rPr>
        <w:t xml:space="preserve">3.  Publishing the App in VoltMX FOUNDRY:</w:t>
      </w:r>
      <w:r w:rsidDel="00000000" w:rsidR="00000000" w:rsidRPr="00000000">
        <w:rPr>
          <w:rtl w:val="0"/>
        </w:rPr>
      </w:r>
    </w:p>
    <w:p w:rsidR="00000000" w:rsidDel="00000000" w:rsidP="00000000" w:rsidRDefault="00000000" w:rsidRPr="00000000" w14:paraId="000000AD">
      <w:pPr>
        <w:spacing w:after="120" w:before="120" w:line="36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color w:val="30353f"/>
          <w:sz w:val="24"/>
          <w:szCs w:val="24"/>
          <w:rtl w:val="0"/>
        </w:rPr>
        <w:t xml:space="preserve">After adding the </w:t>
      </w:r>
      <w:r w:rsidDel="00000000" w:rsidR="00000000" w:rsidRPr="00000000">
        <w:rPr>
          <w:rFonts w:ascii="Cambria" w:cs="Cambria" w:eastAsia="Cambria" w:hAnsi="Cambria"/>
          <w:b w:val="1"/>
          <w:bCs w:val="1"/>
          <w:color w:val="30353f"/>
          <w:sz w:val="24"/>
          <w:szCs w:val="24"/>
          <w:rtl w:val="0"/>
        </w:rPr>
        <w:t xml:space="preserve">Helicone </w:t>
      </w:r>
      <w:r w:rsidDel="00000000" w:rsidR="00000000" w:rsidRPr="00000000">
        <w:rPr>
          <w:rFonts w:ascii="Cambria" w:cs="Cambria" w:eastAsia="Cambria" w:hAnsi="Cambria"/>
          <w:color w:val="30353f"/>
          <w:sz w:val="24"/>
          <w:szCs w:val="24"/>
          <w:rtl w:val="0"/>
        </w:rPr>
        <w:t xml:space="preserve">Data Adapter to your app and configuring the necessary configurations, you must publish the app to HCL Foundry. For more information, refer to </w:t>
      </w:r>
      <w:hyperlink r:id="rId25">
        <w:r w:rsidDel="00000000" w:rsidR="00000000" w:rsidRPr="00000000">
          <w:rPr>
            <w:rFonts w:ascii="Cambria" w:cs="Cambria" w:eastAsia="Cambria" w:hAnsi="Cambria"/>
            <w:color w:val="58a8ad"/>
            <w:sz w:val="24"/>
            <w:szCs w:val="24"/>
            <w:u w:val="single"/>
            <w:rtl w:val="0"/>
          </w:rPr>
          <w:t xml:space="preserve">Publish a foundry app.</w:t>
        </w:r>
      </w:hyperlink>
      <w:r w:rsidDel="00000000" w:rsidR="00000000" w:rsidRPr="00000000">
        <w:rPr>
          <w:rFonts w:ascii="Cambria" w:cs="Cambria" w:eastAsia="Cambria" w:hAnsi="Cambria"/>
          <w:color w:val="30353f"/>
          <w:sz w:val="24"/>
          <w:szCs w:val="24"/>
          <w:rtl w:val="0"/>
        </w:rPr>
        <w:br w:type="textWrapping"/>
        <w:br w:type="textWrapping"/>
      </w:r>
      <w:r w:rsidDel="00000000" w:rsidR="00000000" w:rsidRPr="00000000">
        <w:rPr>
          <w:rFonts w:ascii="Cambria" w:cs="Cambria" w:eastAsia="Cambria" w:hAnsi="Cambria"/>
          <w:color w:val="30353f"/>
        </w:rPr>
        <w:drawing>
          <wp:inline distB="114300" distT="114300" distL="114300" distR="114300">
            <wp:extent cx="5943600" cy="2858709"/>
            <wp:effectExtent b="0" l="0" r="0" t="0"/>
            <wp:docPr id="12"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5943600" cy="2858709"/>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4. REFERENCES</w:t>
      </w:r>
      <w:r w:rsidDel="00000000" w:rsidR="00000000" w:rsidRPr="00000000">
        <w:rPr>
          <w:rtl w:val="0"/>
        </w:rPr>
      </w:r>
    </w:p>
    <w:p w:rsidR="00000000" w:rsidDel="00000000" w:rsidP="00000000" w:rsidRDefault="00000000" w:rsidRPr="00000000" w14:paraId="000000AF">
      <w:pPr>
        <w:pStyle w:val="Heading2"/>
        <w:keepNext w:val="0"/>
        <w:keepLines w:val="0"/>
        <w:numPr>
          <w:ilvl w:val="1"/>
          <w:numId w:val="13"/>
        </w:numPr>
        <w:spacing w:before="40" w:line="360" w:lineRule="auto"/>
        <w:ind w:left="1440" w:hanging="360"/>
        <w:jc w:val="both"/>
        <w:rPr>
          <w:rFonts w:ascii="Cambria" w:cs="Cambria" w:eastAsia="Cambria" w:hAnsi="Cambria"/>
          <w:b w:val="1"/>
          <w:bCs w:val="1"/>
          <w:color w:val="2e2e2e"/>
          <w:sz w:val="28"/>
          <w:szCs w:val="28"/>
        </w:rPr>
      </w:pPr>
      <w:r w:rsidDel="00000000" w:rsidR="00000000" w:rsidRPr="00000000">
        <w:rPr>
          <w:rFonts w:ascii="Cambria" w:cs="Cambria" w:eastAsia="Cambria" w:hAnsi="Cambria"/>
          <w:b w:val="1"/>
          <w:bCs w:val="1"/>
          <w:sz w:val="28"/>
          <w:szCs w:val="28"/>
          <w:rtl w:val="0"/>
        </w:rPr>
        <w:t xml:space="preserve">Endpoint documentation</w:t>
      </w:r>
    </w:p>
    <w:p w:rsidR="00000000" w:rsidDel="00000000" w:rsidP="00000000" w:rsidRDefault="00000000" w:rsidRPr="00000000" w14:paraId="000000B0">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r>
      <w:hyperlink r:id="rId27">
        <w:r w:rsidDel="00000000" w:rsidR="00000000" w:rsidRPr="00000000">
          <w:rPr>
            <w:rFonts w:ascii="Cambria" w:cs="Cambria" w:eastAsia="Cambria" w:hAnsi="Cambria"/>
            <w:color w:val="1155cc"/>
            <w:u w:val="single"/>
            <w:rtl w:val="0"/>
          </w:rPr>
          <w:t xml:space="preserve">Helicone Account</w:t>
        </w:r>
      </w:hyperlink>
      <w:r w:rsidDel="00000000" w:rsidR="00000000" w:rsidRPr="00000000">
        <w:rPr>
          <w:rtl w:val="0"/>
        </w:rPr>
      </w:r>
    </w:p>
    <w:p w:rsidR="00000000" w:rsidDel="00000000" w:rsidP="00000000" w:rsidRDefault="00000000" w:rsidRPr="00000000" w14:paraId="000000B1">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5. REVISION HISTORY</w:t>
      </w:r>
      <w:r w:rsidDel="00000000" w:rsidR="00000000" w:rsidRPr="00000000">
        <w:rPr>
          <w:rtl w:val="0"/>
        </w:rPr>
      </w:r>
    </w:p>
    <w:p w:rsidR="00000000" w:rsidDel="00000000" w:rsidP="00000000" w:rsidRDefault="00000000" w:rsidRPr="00000000" w14:paraId="000000B2">
      <w:pPr>
        <w:spacing w:after="12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B3">
      <w:pPr>
        <w:pStyle w:val="Heading2"/>
        <w:keepNext w:val="0"/>
        <w:keepLines w:val="0"/>
        <w:numPr>
          <w:ilvl w:val="0"/>
          <w:numId w:val="18"/>
        </w:numPr>
        <w:spacing w:before="40" w:line="360" w:lineRule="auto"/>
        <w:ind w:left="1440" w:hanging="360"/>
        <w:jc w:val="both"/>
        <w:rPr>
          <w:rFonts w:ascii="Cambria" w:cs="Cambria" w:eastAsia="Cambria" w:hAnsi="Cambria"/>
          <w:b w:val="1"/>
          <w:bCs w:val="1"/>
          <w:sz w:val="26"/>
          <w:szCs w:val="26"/>
        </w:rPr>
      </w:pPr>
      <w:bookmarkStart w:colFirst="0" w:colLast="0" w:name="_cclu73w18c7h" w:id="1"/>
      <w:bookmarkEnd w:id="1"/>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B4">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In VoltMX Foundry, always provide values for required parameters. Optional parameters should only be included when you have valid values. Avoid sending empty strings, empty objects, or empty arrays for optional fields, as this may lead to validation errors. The request example includes all available parameters only for reference.</w:t>
      </w:r>
      <w:r w:rsidDel="00000000" w:rsidR="00000000" w:rsidRPr="00000000">
        <w:rPr>
          <w:rtl w:val="0"/>
        </w:rPr>
      </w:r>
    </w:p>
    <w:p w:rsidR="00000000" w:rsidDel="00000000" w:rsidP="00000000" w:rsidRDefault="00000000" w:rsidRPr="00000000" w14:paraId="000000B5">
      <w:pPr>
        <w:pStyle w:val="Heading2"/>
        <w:keepNext w:val="0"/>
        <w:keepLines w:val="0"/>
        <w:numPr>
          <w:ilvl w:val="0"/>
          <w:numId w:val="18"/>
        </w:numPr>
        <w:spacing w:before="40" w:line="360" w:lineRule="auto"/>
        <w:ind w:left="1440" w:hanging="360"/>
        <w:jc w:val="both"/>
        <w:rPr>
          <w:rFonts w:ascii="Cambria" w:cs="Cambria" w:eastAsia="Cambria" w:hAnsi="Cambria"/>
          <w:b w:val="1"/>
          <w:bCs w:val="1"/>
          <w:sz w:val="26"/>
          <w:szCs w:val="26"/>
        </w:rPr>
      </w:pPr>
      <w:bookmarkStart w:colFirst="0" w:colLast="0" w:name="_8fcgcvia9dbg" w:id="2"/>
      <w:bookmarkEnd w:id="2"/>
      <w:r w:rsidDel="00000000" w:rsidR="00000000" w:rsidRPr="00000000">
        <w:rPr>
          <w:rFonts w:ascii="Cambria" w:cs="Cambria" w:eastAsia="Cambria" w:hAnsi="Cambria"/>
          <w:b w:val="1"/>
          <w:bCs w:val="1"/>
          <w:sz w:val="26"/>
          <w:szCs w:val="26"/>
          <w:rtl w:val="0"/>
        </w:rPr>
        <w:t xml:space="preserve">Limitations</w:t>
      </w:r>
      <w:r w:rsidDel="00000000" w:rsidR="00000000" w:rsidRPr="00000000">
        <w:rPr>
          <w:rtl w:val="0"/>
        </w:rPr>
      </w:r>
    </w:p>
    <w:p w:rsidR="00000000" w:rsidDel="00000000" w:rsidP="00000000" w:rsidRDefault="00000000" w:rsidRPr="00000000" w14:paraId="000000B6">
      <w:pPr>
        <w:spacing w:after="240" w:before="240" w:lineRule="auto"/>
        <w:ind w:left="720" w:firstLine="72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B7">
      <w:pPr>
        <w:rPr>
          <w:rFonts w:ascii="Cambria" w:cs="Cambria" w:eastAsia="Cambria" w:hAnsi="Cambria"/>
        </w:rPr>
      </w:pPr>
      <w:r w:rsidDel="00000000" w:rsidR="00000000" w:rsidRPr="00000000">
        <w:rPr>
          <w:rtl w:val="0"/>
        </w:rPr>
      </w:r>
    </w:p>
    <w:p w:rsidR="00000000" w:rsidDel="00000000" w:rsidP="00000000" w:rsidRDefault="00000000" w:rsidRPr="00000000" w14:paraId="000000B8">
      <w:pPr>
        <w:rPr>
          <w:rFonts w:ascii="Cambria" w:cs="Cambria" w:eastAsia="Cambria" w:hAnsi="Cambria"/>
        </w:rPr>
      </w:pPr>
      <w:r w:rsidDel="00000000" w:rsidR="00000000" w:rsidRPr="00000000">
        <w:rPr>
          <w:rtl w:val="0"/>
        </w:rPr>
      </w:r>
    </w:p>
    <w:p w:rsidR="00000000" w:rsidDel="00000000" w:rsidP="00000000" w:rsidRDefault="00000000" w:rsidRPr="00000000" w14:paraId="000000B9">
      <w:pPr>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7">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0.png"/><Relationship Id="rId21" Type="http://schemas.openxmlformats.org/officeDocument/2006/relationships/hyperlink" Target="https://manage.hclvoltmx.com/" TargetMode="External"/><Relationship Id="rId24" Type="http://schemas.openxmlformats.org/officeDocument/2006/relationships/image" Target="media/image13.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6" Type="http://schemas.openxmlformats.org/officeDocument/2006/relationships/image" Target="media/image7.png"/><Relationship Id="rId25" Type="http://schemas.openxmlformats.org/officeDocument/2006/relationships/hyperlink" Target="https://opensource.hcltechsw.com/volt-mx-docs/docs/documentation/Foundry/voltmx_appfactory_user_guide/Content/FoundryPublish.html" TargetMode="External"/><Relationship Id="rId27" Type="http://schemas.openxmlformats.org/officeDocument/2006/relationships/hyperlink" Target="https://docs.helicone.ai/getting-started/quick-start"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us.helicone.ai/settings/api-keys" TargetMode="External"/><Relationship Id="rId8" Type="http://schemas.openxmlformats.org/officeDocument/2006/relationships/hyperlink" Target="https://docs.helicone.ai/getting-started/quick-start" TargetMode="External"/><Relationship Id="rId11" Type="http://schemas.openxmlformats.org/officeDocument/2006/relationships/image" Target="media/image5.png"/><Relationship Id="rId10" Type="http://schemas.openxmlformats.org/officeDocument/2006/relationships/image" Target="media/image6.png"/><Relationship Id="rId13" Type="http://schemas.openxmlformats.org/officeDocument/2006/relationships/image" Target="media/image1.png"/><Relationship Id="rId12" Type="http://schemas.openxmlformats.org/officeDocument/2006/relationships/image" Target="media/image2.png"/><Relationship Id="rId15" Type="http://schemas.openxmlformats.org/officeDocument/2006/relationships/image" Target="media/image4.png"/><Relationship Id="rId14" Type="http://schemas.openxmlformats.org/officeDocument/2006/relationships/image" Target="media/image8.png"/><Relationship Id="rId17" Type="http://schemas.openxmlformats.org/officeDocument/2006/relationships/image" Target="media/image11.png"/><Relationship Id="rId16" Type="http://schemas.openxmlformats.org/officeDocument/2006/relationships/hyperlink" Target="https://manage.hclvoltmx.com/" TargetMode="External"/><Relationship Id="rId19" Type="http://schemas.openxmlformats.org/officeDocument/2006/relationships/image" Target="media/image3.png"/><Relationship Id="rId18" Type="http://schemas.openxmlformats.org/officeDocument/2006/relationships/hyperlink" Target="https://manage.hclvoltm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