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60" w:lineRule="auto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Date</w:t>
      </w:r>
      <w:r w:rsidDel="00000000" w:rsidR="00000000" w:rsidRPr="00000000">
        <w:rPr>
          <w:rFonts w:ascii="Cambria" w:cs="Cambria" w:eastAsia="Cambria" w:hAnsi="Cambria"/>
          <w:sz w:val="28"/>
          <w:szCs w:val="28"/>
          <w:highlight w:val="white"/>
          <w:rtl w:val="0"/>
        </w:rPr>
        <w:t xml:space="preserve">:  09-Jan-25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Bdr>
          <w:left w:color="000000" w:space="10" w:sz="48" w:val="single"/>
        </w:pBdr>
        <w:spacing w:after="0" w:before="240" w:lineRule="auto"/>
        <w:rPr>
          <w:rFonts w:ascii="Cambria" w:cs="Cambria" w:eastAsia="Cambria" w:hAnsi="Cambria"/>
          <w:b w:val="0"/>
          <w:sz w:val="54"/>
          <w:szCs w:val="54"/>
        </w:rPr>
      </w:pPr>
      <w:bookmarkStart w:colFirst="0" w:colLast="0" w:name="_heading=h.tr4ma62eatt" w:id="0"/>
      <w:bookmarkEnd w:id="0"/>
      <w:r w:rsidDel="00000000" w:rsidR="00000000" w:rsidRPr="00000000">
        <w:rPr>
          <w:rFonts w:ascii="Cambria" w:cs="Cambria" w:eastAsia="Cambria" w:hAnsi="Cambria"/>
          <w:b w:val="0"/>
          <w:sz w:val="54"/>
          <w:szCs w:val="54"/>
          <w:rtl w:val="0"/>
        </w:rPr>
        <w:t xml:space="preserve">Google Translate</w:t>
      </w:r>
    </w:p>
    <w:p w:rsidR="00000000" w:rsidDel="00000000" w:rsidP="00000000" w:rsidRDefault="00000000" w:rsidRPr="00000000" w14:paraId="00000003">
      <w:pPr>
        <w:pStyle w:val="Title"/>
        <w:pBdr>
          <w:left w:color="000000" w:space="10" w:sz="48" w:val="single"/>
        </w:pBdr>
        <w:spacing w:after="0" w:before="240" w:lineRule="auto"/>
        <w:rPr>
          <w:rFonts w:ascii="Cambria" w:cs="Cambria" w:eastAsia="Cambria" w:hAnsi="Cambria"/>
          <w:b w:val="0"/>
          <w:smallCaps w:val="1"/>
          <w:color w:val="2e2e2e"/>
          <w:sz w:val="40"/>
          <w:szCs w:val="40"/>
        </w:rPr>
      </w:pPr>
      <w:bookmarkStart w:colFirst="0" w:colLast="0" w:name="_heading=h.h8wffpndnzs9" w:id="1"/>
      <w:bookmarkEnd w:id="1"/>
      <w:r w:rsidDel="00000000" w:rsidR="00000000" w:rsidRPr="00000000">
        <w:rPr>
          <w:rFonts w:ascii="Cambria" w:cs="Cambria" w:eastAsia="Cambria" w:hAnsi="Cambria"/>
          <w:b w:val="0"/>
          <w:smallCaps w:val="1"/>
          <w:color w:val="2e2e2e"/>
          <w:sz w:val="40"/>
          <w:szCs w:val="40"/>
          <w:rtl w:val="0"/>
        </w:rPr>
        <w:t xml:space="preserve">VERSION: 1.0.1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120" w:before="120" w:lineRule="auto"/>
        <w:ind w:left="720" w:firstLine="0"/>
        <w:rPr/>
      </w:pPr>
      <w:bookmarkStart w:colFirst="0" w:colLast="0" w:name="_heading=h.slj0vp5epc1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9"/>
        </w:numPr>
        <w:ind w:left="720" w:hanging="36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Rule="auto"/>
        <w:ind w:left="720" w:firstLine="0"/>
        <w:rPr>
          <w:rFonts w:ascii="Cambria" w:cs="Cambria" w:eastAsia="Cambria" w:hAnsi="Cambria"/>
          <w:color w:val="30353f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Google Translate is a language translation service that supports over a hundred languages. The Google Translate data adapter integrates the Cloud Translate APIs with VoltMX Foundry. Under the hood, the data adapter uses </w:t>
      </w:r>
      <w:hyperlink r:id="rId7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Integration Services</w:t>
        </w:r>
      </w:hyperlink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 to make API calls to the Google Console.</w:t>
      </w:r>
    </w:p>
    <w:p w:rsidR="00000000" w:rsidDel="00000000" w:rsidP="00000000" w:rsidRDefault="00000000" w:rsidRPr="00000000" w14:paraId="00000008">
      <w:pPr>
        <w:pStyle w:val="Heading2"/>
        <w:spacing w:before="40" w:lineRule="auto"/>
        <w:ind w:left="720" w:firstLine="0"/>
        <w:rPr>
          <w:rFonts w:ascii="Cambria" w:cs="Cambria" w:eastAsia="Cambria" w:hAnsi="Cambria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numPr>
          <w:ilvl w:val="0"/>
          <w:numId w:val="10"/>
        </w:numPr>
        <w:spacing w:before="40" w:lineRule="auto"/>
        <w:ind w:left="1080" w:hanging="36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Use case</w:t>
      </w:r>
    </w:p>
    <w:p w:rsidR="00000000" w:rsidDel="00000000" w:rsidP="00000000" w:rsidRDefault="00000000" w:rsidRPr="00000000" w14:paraId="0000000A">
      <w:pPr>
        <w:keepNext w:val="0"/>
        <w:keepLines w:val="0"/>
        <w:spacing w:after="0" w:before="40" w:lineRule="auto"/>
        <w:ind w:left="108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 Google Translate use case involves leveraging its powerful translation capabilities to facilitate communication, enhance accessibility, or automate workflows requiring multilingual support.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numPr>
          <w:ilvl w:val="0"/>
          <w:numId w:val="10"/>
        </w:numPr>
        <w:spacing w:before="40" w:lineRule="auto"/>
        <w:ind w:left="1080" w:hanging="360"/>
        <w:rPr>
          <w:rFonts w:ascii="Cambria" w:cs="Cambria" w:eastAsia="Cambria" w:hAnsi="Cambria"/>
          <w:b w:val="1"/>
          <w:sz w:val="26"/>
          <w:szCs w:val="26"/>
        </w:rPr>
      </w:pPr>
      <w:bookmarkStart w:colFirst="0" w:colLast="0" w:name="_heading=h.pvhwvx9jtcpp" w:id="3"/>
      <w:bookmarkEnd w:id="3"/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Percentage of re-use: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                     70% (Data can be customizable and customers need to implement UI by themselves).</w:t>
      </w:r>
    </w:p>
    <w:p w:rsidR="00000000" w:rsidDel="00000000" w:rsidP="00000000" w:rsidRDefault="00000000" w:rsidRPr="00000000" w14:paraId="0000000E">
      <w:pPr>
        <w:ind w:left="144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firstLine="0"/>
        <w:jc w:val="left"/>
        <w:rPr>
          <w:color w:val="2e2e2e"/>
        </w:rPr>
      </w:pPr>
      <w:bookmarkStart w:colFirst="0" w:colLast="0" w:name="_heading=h.4kg8hx8x7ipf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9"/>
        </w:numPr>
        <w:ind w:left="720" w:hanging="36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GETTING STARTED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numPr>
          <w:ilvl w:val="1"/>
          <w:numId w:val="15"/>
        </w:numPr>
        <w:spacing w:before="40" w:lineRule="auto"/>
        <w:ind w:left="1080" w:hanging="36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Prerequisites</w:t>
      </w:r>
    </w:p>
    <w:p w:rsidR="00000000" w:rsidDel="00000000" w:rsidP="00000000" w:rsidRDefault="00000000" w:rsidRPr="00000000" w14:paraId="00000012">
      <w:pPr>
        <w:ind w:left="108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Before you start using the Google Translate data adapter, ensure you have the following: </w:t>
      </w:r>
    </w:p>
    <w:p w:rsidR="00000000" w:rsidDel="00000000" w:rsidP="00000000" w:rsidRDefault="00000000" w:rsidRPr="00000000" w14:paraId="00000013">
      <w:pPr>
        <w:ind w:left="108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3"/>
        </w:numPr>
        <w:ind w:left="1440" w:hanging="360"/>
        <w:rPr>
          <w:rFonts w:ascii="Cambria" w:cs="Cambria" w:eastAsia="Cambria" w:hAnsi="Cambria"/>
          <w:sz w:val="22"/>
          <w:szCs w:val="22"/>
          <w:u w:val="none"/>
        </w:rPr>
      </w:pPr>
      <w:hyperlink r:id="rId8">
        <w:r w:rsidDel="00000000" w:rsidR="00000000" w:rsidRPr="00000000">
          <w:rPr>
            <w:rFonts w:ascii="Cambria" w:cs="Cambria" w:eastAsia="Cambria" w:hAnsi="Cambria"/>
            <w:sz w:val="22"/>
            <w:szCs w:val="22"/>
            <w:u w:val="single"/>
            <w:shd w:fill="e1e3e6" w:val="clear"/>
            <w:rtl w:val="0"/>
          </w:rPr>
          <w:t xml:space="preserve">HCL Foundry</w:t>
        </w:r>
      </w:hyperlink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15">
      <w:pPr>
        <w:numPr>
          <w:ilvl w:val="0"/>
          <w:numId w:val="13"/>
        </w:numPr>
        <w:ind w:left="1440" w:hanging="360"/>
        <w:rPr>
          <w:rFonts w:ascii="Cambria" w:cs="Cambria" w:eastAsia="Cambria" w:hAnsi="Cambria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Volt MX Iris </w:t>
      </w:r>
    </w:p>
    <w:p w:rsidR="00000000" w:rsidDel="00000000" w:rsidP="00000000" w:rsidRDefault="00000000" w:rsidRPr="00000000" w14:paraId="00000016">
      <w:pPr>
        <w:numPr>
          <w:ilvl w:val="0"/>
          <w:numId w:val="13"/>
        </w:numPr>
        <w:ind w:left="1440" w:hanging="360"/>
        <w:rPr>
          <w:rFonts w:ascii="Cambria" w:cs="Cambria" w:eastAsia="Cambria" w:hAnsi="Cambria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Google account.</w:t>
      </w:r>
    </w:p>
    <w:p w:rsidR="00000000" w:rsidDel="00000000" w:rsidP="00000000" w:rsidRDefault="00000000" w:rsidRPr="00000000" w14:paraId="00000017">
      <w:pPr>
        <w:ind w:left="1080" w:firstLine="0"/>
        <w:rPr>
          <w:rFonts w:ascii="Cambria" w:cs="Cambria" w:eastAsia="Cambria" w:hAnsi="Cambria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numPr>
          <w:ilvl w:val="1"/>
          <w:numId w:val="15"/>
        </w:numPr>
        <w:spacing w:before="40" w:lineRule="auto"/>
        <w:ind w:left="1080" w:hanging="360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Platforms Supported</w:t>
      </w:r>
    </w:p>
    <w:p w:rsidR="00000000" w:rsidDel="00000000" w:rsidP="00000000" w:rsidRDefault="00000000" w:rsidRPr="00000000" w14:paraId="00000019">
      <w:pPr>
        <w:keepNext w:val="0"/>
        <w:keepLines w:val="0"/>
        <w:numPr>
          <w:ilvl w:val="2"/>
          <w:numId w:val="15"/>
        </w:numPr>
        <w:spacing w:after="0" w:before="40" w:lineRule="auto"/>
        <w:ind w:left="180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Mobile</w:t>
      </w:r>
    </w:p>
    <w:p w:rsidR="00000000" w:rsidDel="00000000" w:rsidP="00000000" w:rsidRDefault="00000000" w:rsidRPr="00000000" w14:paraId="0000001A">
      <w:pPr>
        <w:keepNext w:val="0"/>
        <w:keepLines w:val="0"/>
        <w:numPr>
          <w:ilvl w:val="3"/>
          <w:numId w:val="15"/>
        </w:numPr>
        <w:spacing w:after="0" w:before="40" w:lineRule="auto"/>
        <w:ind w:left="216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iOS</w:t>
      </w:r>
    </w:p>
    <w:p w:rsidR="00000000" w:rsidDel="00000000" w:rsidP="00000000" w:rsidRDefault="00000000" w:rsidRPr="00000000" w14:paraId="0000001B">
      <w:pPr>
        <w:keepNext w:val="0"/>
        <w:keepLines w:val="0"/>
        <w:numPr>
          <w:ilvl w:val="3"/>
          <w:numId w:val="15"/>
        </w:numPr>
        <w:spacing w:after="0" w:before="40" w:lineRule="auto"/>
        <w:ind w:left="216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Android</w:t>
      </w:r>
    </w:p>
    <w:p w:rsidR="00000000" w:rsidDel="00000000" w:rsidP="00000000" w:rsidRDefault="00000000" w:rsidRPr="00000000" w14:paraId="0000001C">
      <w:pPr>
        <w:keepNext w:val="0"/>
        <w:keepLines w:val="0"/>
        <w:spacing w:after="0" w:before="40" w:lineRule="auto"/>
        <w:ind w:left="144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080" w:right="0" w:hanging="360"/>
        <w:jc w:val="lef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Importing the adapter</w:t>
      </w:r>
    </w:p>
    <w:p w:rsidR="00000000" w:rsidDel="00000000" w:rsidP="00000000" w:rsidRDefault="00000000" w:rsidRPr="00000000" w14:paraId="0000001E">
      <w:pPr>
        <w:ind w:left="0" w:firstLine="0"/>
        <w:rPr>
          <w:rFonts w:ascii="Cambria" w:cs="Cambria" w:eastAsia="Cambria" w:hAnsi="Cambria"/>
          <w:b w:val="1"/>
          <w:sz w:val="21"/>
          <w:szCs w:val="21"/>
          <w:highlight w:val="whit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 </w:t>
      </w:r>
      <w:r w:rsidDel="00000000" w:rsidR="00000000" w:rsidRPr="00000000">
        <w:rPr>
          <w:rFonts w:ascii="Cambria" w:cs="Cambria" w:eastAsia="Cambria" w:hAnsi="Cambria"/>
          <w:b w:val="1"/>
          <w:sz w:val="21"/>
          <w:szCs w:val="21"/>
          <w:highlight w:val="white"/>
          <w:rtl w:val="0"/>
        </w:rPr>
        <w:t xml:space="preserve">To import the Data Adapter to Volt Foundry, do the following: 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80" w:before="280" w:lineRule="auto"/>
        <w:ind w:left="171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Sign in to the  </w:t>
      </w:r>
      <w:hyperlink r:id="rId9">
        <w:r w:rsidDel="00000000" w:rsidR="00000000" w:rsidRPr="00000000">
          <w:rPr>
            <w:rFonts w:ascii="Cambria" w:cs="Cambria" w:eastAsia="Cambria" w:hAnsi="Cambria"/>
            <w:sz w:val="22"/>
            <w:szCs w:val="22"/>
            <w:u w:val="single"/>
            <w:shd w:fill="e1e3e6" w:val="clear"/>
            <w:rtl w:val="0"/>
          </w:rPr>
          <w:t xml:space="preserve">HCL Foundry</w:t>
        </w:r>
      </w:hyperlink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shd w:fill="e1e3e6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0"/>
        </w:numPr>
        <w:spacing w:after="280" w:before="280" w:lineRule="auto"/>
        <w:ind w:left="171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From the left navigation menu, select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API Management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1">
      <w:pPr>
        <w:numPr>
          <w:ilvl w:val="0"/>
          <w:numId w:val="20"/>
        </w:numPr>
        <w:spacing w:after="280" w:before="280" w:lineRule="auto"/>
        <w:ind w:left="144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In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API Management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select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Custom Data Adapters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5219700" cy="2400300"/>
            <wp:effectExtent b="0" l="0" r="0" t="0"/>
            <wp:docPr id="19118673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6"/>
        </w:numPr>
        <w:spacing w:after="280" w:before="280" w:lineRule="auto"/>
        <w:ind w:left="171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Click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IMPORT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to import a custom data adapter.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4023360" cy="1203960"/>
            <wp:effectExtent b="0" l="0" r="0" t="0"/>
            <wp:docPr id="19118673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203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spacing w:after="280" w:before="280" w:lineRule="auto"/>
        <w:ind w:left="171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On the Import Data Adapter dialog box, click browser to import.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5273040" cy="3360420"/>
            <wp:effectExtent b="0" l="0" r="0" t="0"/>
            <wp:docPr id="19118673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0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spacing w:after="280" w:before="280" w:lineRule="auto"/>
        <w:ind w:left="171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Selected Google Translate data adapter zip file and click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IMPORT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5">
      <w:pPr>
        <w:spacing w:before="120" w:lineRule="auto"/>
        <w:ind w:left="144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After you import the data adapter, Volt Foundry opens a window that shows the metadata of the data adapter.</w:t>
      </w:r>
    </w:p>
    <w:p w:rsidR="00000000" w:rsidDel="00000000" w:rsidP="00000000" w:rsidRDefault="00000000" w:rsidRPr="00000000" w14:paraId="00000026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5731200" cy="1447800"/>
            <wp:effectExtent b="0" l="0" r="0" t="0"/>
            <wp:docPr id="19118673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After you import the data adapter, you can view it on the Custom Data Adapters page and use it to create services on Volt Foundry.</w:t>
      </w:r>
    </w:p>
    <w:p w:rsidR="00000000" w:rsidDel="00000000" w:rsidP="00000000" w:rsidRDefault="00000000" w:rsidRPr="00000000" w14:paraId="00000028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080" w:right="0" w:hanging="360"/>
        <w:jc w:val="left"/>
        <w:rPr>
          <w:rFonts w:ascii="Cambria" w:cs="Cambria" w:eastAsia="Cambria" w:hAnsi="Cambria"/>
          <w:sz w:val="26"/>
          <w:szCs w:val="26"/>
        </w:rPr>
      </w:pPr>
      <w:hyperlink r:id="rId14">
        <w:r w:rsidDel="00000000" w:rsidR="00000000" w:rsidRPr="00000000">
          <w:rPr>
            <w:rFonts w:ascii="Cambria" w:cs="Cambria" w:eastAsia="Cambria" w:hAnsi="Cambria"/>
            <w:b w:val="1"/>
            <w:sz w:val="26"/>
            <w:szCs w:val="26"/>
            <w:rtl w:val="0"/>
          </w:rPr>
          <w:t xml:space="preserve">Creating</w:t>
        </w:r>
      </w:hyperlink>
      <w:hyperlink r:id="rId15">
        <w:r w:rsidDel="00000000" w:rsidR="00000000" w:rsidRPr="00000000">
          <w:rPr>
            <w:rFonts w:ascii="Cambria" w:cs="Cambria" w:eastAsia="Cambria" w:hAnsi="Cambria"/>
            <w:b w:val="1"/>
            <w:sz w:val="28"/>
            <w:szCs w:val="28"/>
            <w:rtl w:val="0"/>
          </w:rPr>
          <w:t xml:space="preserve"> an Integration service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After you import the data adapter into Volt Foundry, you can use it to create an Integration Service.</w:t>
      </w:r>
    </w:p>
    <w:p w:rsidR="00000000" w:rsidDel="00000000" w:rsidP="00000000" w:rsidRDefault="00000000" w:rsidRPr="00000000" w14:paraId="0000002B">
      <w:pPr>
        <w:spacing w:before="195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Follow the given steps to create an Integration service using the Google Translate Data Adapter.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spacing w:after="280" w:before="280" w:lineRule="auto"/>
        <w:ind w:left="99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Sign in to the </w:t>
      </w:r>
      <w:hyperlink r:id="rId16">
        <w:r w:rsidDel="00000000" w:rsidR="00000000" w:rsidRPr="00000000">
          <w:rPr>
            <w:rFonts w:ascii="Cambria" w:cs="Cambria" w:eastAsia="Cambria" w:hAnsi="Cambria"/>
            <w:sz w:val="22"/>
            <w:szCs w:val="22"/>
            <w:u w:val="single"/>
            <w:shd w:fill="e1e3e6" w:val="clear"/>
            <w:rtl w:val="0"/>
          </w:rPr>
          <w:t xml:space="preserve">HCL Foundry</w:t>
        </w:r>
      </w:hyperlink>
      <w:r w:rsidDel="00000000" w:rsidR="00000000" w:rsidRPr="00000000">
        <w:rPr>
          <w:rFonts w:ascii="Cambria" w:cs="Cambria" w:eastAsia="Cambria" w:hAnsi="Cambria"/>
          <w:sz w:val="22"/>
          <w:szCs w:val="22"/>
          <w:u w:val="single"/>
          <w:shd w:fill="e1e3e6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280" w:before="280" w:lineRule="auto"/>
        <w:ind w:left="99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From the left navigation menu, select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API Management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spacing w:after="280" w:before="280" w:lineRule="auto"/>
        <w:ind w:left="99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In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API Management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, select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Integration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5273040" cy="1600200"/>
            <wp:effectExtent b="0" l="0" r="0" t="0"/>
            <wp:docPr id="19118673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7"/>
        </w:numPr>
        <w:spacing w:after="280" w:before="280" w:lineRule="auto"/>
        <w:ind w:left="99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To create a new service, click the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+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 button or the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CONFIGURE NEW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 button.</w:t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5273040" cy="1851660"/>
            <wp:effectExtent b="0" l="0" r="0" t="0"/>
            <wp:docPr id="19118673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1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280" w:before="280" w:lineRule="auto"/>
        <w:ind w:left="99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On the Service Definition tab, select the service type as Google translate, and click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SAVE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114300" distT="114300" distL="114300" distR="114300">
            <wp:extent cx="5731200" cy="4737100"/>
            <wp:effectExtent b="0" l="0" r="0" t="0"/>
            <wp:docPr id="19118673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080" w:right="0" w:hanging="360"/>
        <w:jc w:val="left"/>
        <w:rPr>
          <w:rFonts w:ascii="Cambria" w:cs="Cambria" w:eastAsia="Cambria" w:hAnsi="Cambria"/>
          <w:sz w:val="26"/>
          <w:szCs w:val="26"/>
        </w:rPr>
      </w:pPr>
      <w:hyperlink r:id="rId20">
        <w:r w:rsidDel="00000000" w:rsidR="00000000" w:rsidRPr="00000000">
          <w:rPr>
            <w:rFonts w:ascii="Cambria" w:cs="Cambria" w:eastAsia="Cambria" w:hAnsi="Cambria"/>
            <w:b w:val="1"/>
            <w:sz w:val="28"/>
            <w:szCs w:val="28"/>
            <w:rtl w:val="0"/>
          </w:rPr>
          <w:t xml:space="preserve">Executing an operation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12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After you create an integration service, you can create and execute operations using the service.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8"/>
        </w:numPr>
        <w:spacing w:after="280" w:before="280" w:lineRule="auto"/>
        <w:ind w:left="72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In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API Management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in the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Integration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section, select the service that you created.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pacing w:after="280" w:before="280" w:lineRule="auto"/>
        <w:ind w:left="72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After you select the service, navigate to the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Operation List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tab.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0" distT="0" distL="0" distR="0">
            <wp:extent cx="4572000" cy="1905000"/>
            <wp:effectExtent b="0" l="0" r="0" t="0"/>
            <wp:docPr id="19118673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280" w:before="280" w:lineRule="auto"/>
        <w:ind w:left="720" w:hanging="36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From the drop down list, select an operation that you want to execute, and click </w:t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rtl w:val="0"/>
        </w:rPr>
        <w:t xml:space="preserve">ADD OPERATION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Poppins Light" w:cs="Poppins Light" w:eastAsia="Poppins Light" w:hAnsi="Poppins Light"/>
          <w:color w:val="30353f"/>
          <w:sz w:val="20"/>
          <w:szCs w:val="20"/>
        </w:rPr>
        <w:drawing>
          <wp:inline distB="114300" distT="114300" distL="114300" distR="114300">
            <wp:extent cx="5731200" cy="2159000"/>
            <wp:effectExtent b="0" l="0" r="0" t="0"/>
            <wp:docPr id="19118673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From the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Operations List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tab, in the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Configured Operations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section, select the operation you want to execute.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37">
      <w:pPr>
        <w:spacing w:after="280" w:before="280" w:lineRule="auto"/>
        <w:ind w:left="720" w:firstLine="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114300" distT="114300" distL="114300" distR="114300">
            <wp:extent cx="5731200" cy="2159000"/>
            <wp:effectExtent b="0" l="0" r="0" t="0"/>
            <wp:docPr id="191186732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On the Operation Page, in the Request Input tab, enter a TEST VALUE for all the fields.</w:t>
      </w:r>
      <w:r w:rsidDel="00000000" w:rsidR="00000000" w:rsidRPr="00000000">
        <w:rPr>
          <w:rFonts w:ascii="Cambria" w:cs="Cambria" w:eastAsia="Cambria" w:hAnsi="Cambria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114300" distT="114300" distL="114300" distR="114300">
            <wp:extent cx="5731200" cy="3162300"/>
            <wp:effectExtent b="0" l="0" r="0" t="0"/>
            <wp:docPr id="19118673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afterAutospacing="0" w:before="200" w:lineRule="auto"/>
        <w:ind w:left="1440" w:hanging="360"/>
        <w:rPr>
          <w:rFonts w:ascii="Cambria" w:cs="Cambria" w:eastAsia="Cambria" w:hAnsi="Cambria"/>
          <w:color w:val="30353f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30353f"/>
          <w:sz w:val="22"/>
          <w:szCs w:val="22"/>
          <w:rtl w:val="0"/>
        </w:rPr>
        <w:t xml:space="preserve">key:</w:t>
      </w:r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Specifies the Translate API key that you obtained from Google.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  <w:color w:val="30353f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30353f"/>
          <w:sz w:val="22"/>
          <w:szCs w:val="22"/>
          <w:rtl w:val="0"/>
        </w:rPr>
        <w:t xml:space="preserve">q:</w:t>
      </w:r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 Specifies the text that you want to translate.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200" w:before="0" w:beforeAutospacing="0" w:lineRule="auto"/>
        <w:ind w:left="1440" w:hanging="360"/>
        <w:rPr>
          <w:rFonts w:ascii="Cambria" w:cs="Cambria" w:eastAsia="Cambria" w:hAnsi="Cambria"/>
          <w:sz w:val="22"/>
          <w:szCs w:val="22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30353f"/>
          <w:sz w:val="22"/>
          <w:szCs w:val="22"/>
          <w:rtl w:val="0"/>
        </w:rPr>
        <w:t xml:space="preserve">target:</w:t>
      </w:r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 Specifies the code of the target language. The code must be in the ISO-639-1 format.</w:t>
        <w:br w:type="textWrapping"/>
        <w:t xml:space="preserve">For more information about language codes, refer to </w:t>
      </w:r>
      <w:hyperlink r:id="rId25">
        <w:r w:rsidDel="00000000" w:rsidR="00000000" w:rsidRPr="00000000">
          <w:rPr>
            <w:rFonts w:ascii="Cambria" w:cs="Cambria" w:eastAsia="Cambria" w:hAnsi="Cambria"/>
            <w:color w:val="2d82dc"/>
            <w:sz w:val="22"/>
            <w:szCs w:val="22"/>
            <w:u w:val="single"/>
            <w:rtl w:val="0"/>
          </w:rPr>
          <w:t xml:space="preserve">Language Support</w:t>
        </w:r>
      </w:hyperlink>
      <w:r w:rsidDel="00000000" w:rsidR="00000000" w:rsidRPr="00000000">
        <w:rPr>
          <w:rFonts w:ascii="Cambria" w:cs="Cambria" w:eastAsia="Cambria" w:hAnsi="Cambria"/>
          <w:color w:val="30353f"/>
          <w:sz w:val="22"/>
          <w:szCs w:val="22"/>
          <w:rtl w:val="0"/>
        </w:rPr>
        <w:t xml:space="preserve"> in the Google Cloud documentation.</w:t>
      </w:r>
    </w:p>
    <w:p w:rsidR="00000000" w:rsidDel="00000000" w:rsidP="00000000" w:rsidRDefault="00000000" w:rsidRPr="00000000" w14:paraId="0000003C">
      <w:pPr>
        <w:spacing w:after="280" w:before="280" w:lineRule="auto"/>
        <w:ind w:left="1440" w:firstLine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80" w:before="280" w:lineRule="auto"/>
        <w:ind w:left="1440" w:firstLine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80" w:before="280" w:lineRule="auto"/>
        <w:ind w:left="1440" w:firstLine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before="120" w:lineRule="auto"/>
        <w:ind w:left="720" w:firstLine="0"/>
        <w:rPr>
          <w:rFonts w:ascii="Cambria" w:cs="Cambria" w:eastAsia="Cambria" w:hAnsi="Cambria"/>
          <w:b w:val="1"/>
          <w:color w:val="343e48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color w:val="343e48"/>
          <w:sz w:val="22"/>
          <w:szCs w:val="22"/>
          <w:rtl w:val="0"/>
        </w:rPr>
        <w:t xml:space="preserve">Note: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200" w:lineRule="auto"/>
        <w:ind w:left="118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343e48"/>
          <w:sz w:val="22"/>
          <w:szCs w:val="22"/>
          <w:rtl w:val="0"/>
        </w:rPr>
        <w:t xml:space="preserve">The operations use APIs from Google Translate. For more information on the APIs, refer to </w:t>
      </w:r>
      <w:hyperlink r:id="rId26">
        <w:r w:rsidDel="00000000" w:rsidR="00000000" w:rsidRPr="00000000">
          <w:rPr>
            <w:rFonts w:ascii="Cambria" w:cs="Cambria" w:eastAsia="Cambria" w:hAnsi="Cambria"/>
            <w:color w:val="2d82dc"/>
            <w:sz w:val="22"/>
            <w:szCs w:val="22"/>
            <w:u w:val="single"/>
            <w:rtl w:val="0"/>
          </w:rPr>
          <w:t xml:space="preserve">Cloud Translation API</w:t>
        </w:r>
      </w:hyperlink>
      <w:r w:rsidDel="00000000" w:rsidR="00000000" w:rsidRPr="00000000">
        <w:rPr>
          <w:rFonts w:ascii="Cambria" w:cs="Cambria" w:eastAsia="Cambria" w:hAnsi="Cambria"/>
          <w:color w:val="343e48"/>
          <w:sz w:val="22"/>
          <w:szCs w:val="22"/>
          <w:rtl w:val="0"/>
        </w:rPr>
        <w:t xml:space="preserve"> in the Google Cloud documentation.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200" w:before="0" w:beforeAutospacing="0" w:lineRule="auto"/>
        <w:ind w:left="1180" w:hanging="36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343e48"/>
          <w:sz w:val="22"/>
          <w:szCs w:val="22"/>
          <w:rtl w:val="0"/>
        </w:rPr>
        <w:t xml:space="preserve">You can use the Integration Service and the operations in your VoltMX Foundry applications. For more information, you can refer to </w:t>
      </w:r>
      <w:hyperlink r:id="rId27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How to Use an Existing Integration Service</w:t>
        </w:r>
      </w:hyperlink>
      <w:r w:rsidDel="00000000" w:rsidR="00000000" w:rsidRPr="00000000">
        <w:rPr>
          <w:rFonts w:ascii="Cambria" w:cs="Cambria" w:eastAsia="Cambria" w:hAnsi="Cambria"/>
          <w:color w:val="343e48"/>
          <w:sz w:val="22"/>
          <w:szCs w:val="22"/>
          <w:rtl w:val="0"/>
        </w:rPr>
        <w:t xml:space="preserve"> in the VoltMX Foundry User Guide.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left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Select a run-time environment and click 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Save and Fetch Response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 to get a response from Google Translate based on your inputs.</w:t>
        <w:br w:type="textWrapping"/>
      </w:r>
      <w:r w:rsidDel="00000000" w:rsidR="00000000" w:rsidRPr="00000000">
        <w:rPr>
          <w:rFonts w:ascii="Cambria" w:cs="Cambria" w:eastAsia="Cambria" w:hAnsi="Cambria"/>
          <w:sz w:val="22"/>
          <w:szCs w:val="22"/>
        </w:rPr>
        <w:drawing>
          <wp:inline distB="114300" distT="114300" distL="114300" distR="114300">
            <wp:extent cx="5731200" cy="4178300"/>
            <wp:effectExtent b="0" l="0" r="0" t="0"/>
            <wp:docPr id="191186733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080" w:right="0" w:hanging="360"/>
        <w:jc w:val="lef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0" distT="0" distL="0" distR="0">
            <wp:extent cx="203200" cy="139700"/>
            <wp:effectExtent b="0" l="0" r="0" t="0"/>
            <wp:docPr descr="Open" id="1911867334" name="image8.gif"/>
            <a:graphic>
              <a:graphicData uri="http://schemas.openxmlformats.org/drawingml/2006/picture">
                <pic:pic>
                  <pic:nvPicPr>
                    <pic:cNvPr descr="Open" id="0" name="image8.gif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0">
        <w:r w:rsidDel="00000000" w:rsidR="00000000" w:rsidRPr="00000000">
          <w:rPr>
            <w:rFonts w:ascii="Cambria" w:cs="Cambria" w:eastAsia="Cambria" w:hAnsi="Cambria"/>
            <w:b w:val="1"/>
            <w:sz w:val="26"/>
            <w:szCs w:val="26"/>
            <w:rtl w:val="0"/>
          </w:rPr>
          <w:t xml:space="preserve">Publishing your application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120" w:lineRule="auto"/>
        <w:ind w:left="144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If you want to use the services in client applications, you need to publish the app to a run-time environment. </w:t>
      </w:r>
    </w:p>
    <w:p w:rsidR="00000000" w:rsidDel="00000000" w:rsidP="00000000" w:rsidRDefault="00000000" w:rsidRPr="00000000" w14:paraId="00000045">
      <w:pPr>
        <w:spacing w:before="120" w:lineRule="auto"/>
        <w:ind w:left="720" w:firstLine="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sz w:val="20"/>
          <w:szCs w:val="20"/>
        </w:rPr>
        <w:drawing>
          <wp:inline distB="114300" distT="114300" distL="114300" distR="114300">
            <wp:extent cx="5731200" cy="2514600"/>
            <wp:effectExtent b="0" l="0" r="0" t="0"/>
            <wp:docPr id="19118673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95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You can also link the Volt Foundry app to a client application. </w:t>
      </w:r>
    </w:p>
    <w:p w:rsidR="00000000" w:rsidDel="00000000" w:rsidP="00000000" w:rsidRDefault="00000000" w:rsidRPr="00000000" w14:paraId="00000047">
      <w:pPr>
        <w:spacing w:before="195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mallCaps w:val="1"/>
          <w:color w:val="2e2e2e"/>
          <w:sz w:val="28"/>
          <w:szCs w:val="28"/>
          <w:rtl w:val="0"/>
        </w:rPr>
        <w:t xml:space="preserve">REFERENCES</w:t>
      </w:r>
    </w:p>
    <w:p w:rsidR="00000000" w:rsidDel="00000000" w:rsidP="00000000" w:rsidRDefault="00000000" w:rsidRPr="00000000" w14:paraId="00000049">
      <w:pPr>
        <w:spacing w:before="195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numPr>
          <w:ilvl w:val="0"/>
          <w:numId w:val="2"/>
        </w:numPr>
        <w:spacing w:before="40" w:lineRule="auto"/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Properties</w:t>
      </w:r>
    </w:p>
    <w:p w:rsidR="00000000" w:rsidDel="00000000" w:rsidP="00000000" w:rsidRDefault="00000000" w:rsidRPr="00000000" w14:paraId="0000004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   -- None of the properties are exposed.</w:t>
      </w:r>
    </w:p>
    <w:p w:rsidR="00000000" w:rsidDel="00000000" w:rsidP="00000000" w:rsidRDefault="00000000" w:rsidRPr="00000000" w14:paraId="0000004D">
      <w:pPr>
        <w:spacing w:before="120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Events</w:t>
      </w:r>
    </w:p>
    <w:p w:rsidR="00000000" w:rsidDel="00000000" w:rsidP="00000000" w:rsidRDefault="00000000" w:rsidRPr="00000000" w14:paraId="0000004F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    -- None of the events are exposed.</w:t>
      </w:r>
    </w:p>
    <w:p w:rsidR="00000000" w:rsidDel="00000000" w:rsidP="00000000" w:rsidRDefault="00000000" w:rsidRPr="00000000" w14:paraId="00000050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720" w:right="0" w:hanging="36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API’s</w:t>
      </w:r>
    </w:p>
    <w:p w:rsidR="00000000" w:rsidDel="00000000" w:rsidP="00000000" w:rsidRDefault="00000000" w:rsidRPr="00000000" w14:paraId="00000052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   -- None of the APIs are exposed.</w:t>
      </w:r>
    </w:p>
    <w:p w:rsidR="00000000" w:rsidDel="00000000" w:rsidP="00000000" w:rsidRDefault="00000000" w:rsidRPr="00000000" w14:paraId="00000053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120" w:lineRule="auto"/>
        <w:ind w:left="720" w:firstLine="0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  D. REVISION HISTORY</w:t>
      </w:r>
    </w:p>
    <w:p w:rsidR="00000000" w:rsidDel="00000000" w:rsidP="00000000" w:rsidRDefault="00000000" w:rsidRPr="00000000" w14:paraId="00000056">
      <w:pPr>
        <w:ind w:left="0" w:firstLine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Adapter version 1.0.1</w:t>
      </w:r>
    </w:p>
    <w:p w:rsidR="00000000" w:rsidDel="00000000" w:rsidP="00000000" w:rsidRDefault="00000000" w:rsidRPr="00000000" w14:paraId="00000058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numPr>
          <w:ilvl w:val="0"/>
          <w:numId w:val="21"/>
        </w:numPr>
        <w:spacing w:before="40" w:lineRule="auto"/>
        <w:ind w:left="144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Known Issues</w:t>
      </w:r>
    </w:p>
    <w:p w:rsidR="00000000" w:rsidDel="00000000" w:rsidP="00000000" w:rsidRDefault="00000000" w:rsidRPr="00000000" w14:paraId="0000005A">
      <w:pPr>
        <w:spacing w:after="280" w:before="280" w:lineRule="auto"/>
        <w:ind w:left="144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None</w:t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1440" w:right="0" w:hanging="36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Limitations</w:t>
      </w:r>
    </w:p>
    <w:p w:rsidR="00000000" w:rsidDel="00000000" w:rsidP="00000000" w:rsidRDefault="00000000" w:rsidRPr="00000000" w14:paraId="0000005C">
      <w:pPr>
        <w:spacing w:before="28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None</w:t>
      </w:r>
    </w:p>
    <w:p w:rsidR="00000000" w:rsidDel="00000000" w:rsidP="00000000" w:rsidRDefault="00000000" w:rsidRPr="00000000" w14:paraId="0000005D">
      <w:pPr>
        <w:spacing w:after="280" w:before="280" w:lineRule="auto"/>
        <w:ind w:left="1440" w:firstLine="0"/>
        <w:rPr>
          <w:rFonts w:ascii="Cambria" w:cs="Cambria" w:eastAsia="Cambria" w:hAnsi="Cambr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Times New Roman"/>
  <w:font w:name="Georgia"/>
  <w:font w:name="Arial"/>
  <w:font w:name="Poppi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43e48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1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3960" w:hanging="360"/>
      </w:pPr>
      <w:rPr>
        <w:u w:val="none"/>
      </w:rPr>
    </w:lvl>
  </w:abstractNum>
  <w:abstractNum w:abstractNumId="11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u w:val="none"/>
      </w:rPr>
    </w:lvl>
  </w:abstractNum>
  <w:abstractNum w:abstractNumId="16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4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I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60"/>
    </w:pPr>
    <w:rPr>
      <w:rFonts w:ascii="Cambria" w:cs="Cambria" w:eastAsia="Cambria" w:hAnsi="Cambria"/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942671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 w:val="1"/>
    <w:rsid w:val="00942671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42671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942671"/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 w:val="1"/>
    <w:unhideWhenUsed w:val="1"/>
    <w:rsid w:val="00942671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942671"/>
    <w:rPr>
      <w:color w:val="0000ff"/>
      <w:u w:val="single"/>
    </w:rPr>
  </w:style>
  <w:style w:type="paragraph" w:styleId="note" w:customStyle="1">
    <w:name w:val="note"/>
    <w:basedOn w:val="Normal"/>
    <w:rsid w:val="00942671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about:blank" TargetMode="External"/><Relationship Id="rId22" Type="http://schemas.openxmlformats.org/officeDocument/2006/relationships/image" Target="media/image12.png"/><Relationship Id="rId21" Type="http://schemas.openxmlformats.org/officeDocument/2006/relationships/image" Target="media/image4.png"/><Relationship Id="rId24" Type="http://schemas.openxmlformats.org/officeDocument/2006/relationships/image" Target="media/image3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nage.hclvoltmx.com/" TargetMode="External"/><Relationship Id="rId26" Type="http://schemas.openxmlformats.org/officeDocument/2006/relationships/hyperlink" Target="https://cloud.google.com/translate/docs/reference/rest/" TargetMode="External"/><Relationship Id="rId25" Type="http://schemas.openxmlformats.org/officeDocument/2006/relationships/hyperlink" Target="https://cloud.google.com/translate/docs/languages" TargetMode="External"/><Relationship Id="rId28" Type="http://schemas.openxmlformats.org/officeDocument/2006/relationships/image" Target="media/image10.png"/><Relationship Id="rId27" Type="http://schemas.openxmlformats.org/officeDocument/2006/relationships/hyperlink" Target="https://opensource.hcltechsw.com/volt-mx-docs/95/docs/documentation/Foundry/voltmx_foundry_user_guide/Content/Manage_Existing_Integration_Services_1.html#how-to-use-an-existing-integration-servic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gif"/><Relationship Id="rId7" Type="http://schemas.openxmlformats.org/officeDocument/2006/relationships/hyperlink" Target="https://opensource.hcltechsw.com/volt-mx-docs/95/docs/documentation/Foundry/vmf_integrationservice_admin_console_userguide/Content/Integration_Services.html" TargetMode="External"/><Relationship Id="rId8" Type="http://schemas.openxmlformats.org/officeDocument/2006/relationships/hyperlink" Target="https://manage.hclvoltmx.com/" TargetMode="External"/><Relationship Id="rId31" Type="http://schemas.openxmlformats.org/officeDocument/2006/relationships/image" Target="media/image14.png"/><Relationship Id="rId30" Type="http://schemas.openxmlformats.org/officeDocument/2006/relationships/hyperlink" Target="about:blank" TargetMode="External"/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11.png"/><Relationship Id="rId12" Type="http://schemas.openxmlformats.org/officeDocument/2006/relationships/image" Target="media/image2.png"/><Relationship Id="rId15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manage.hclvoltmx.com/" TargetMode="External"/><Relationship Id="rId19" Type="http://schemas.openxmlformats.org/officeDocument/2006/relationships/image" Target="media/image9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Light-regular.ttf"/><Relationship Id="rId2" Type="http://schemas.openxmlformats.org/officeDocument/2006/relationships/font" Target="fonts/PoppinsLight-bold.ttf"/><Relationship Id="rId3" Type="http://schemas.openxmlformats.org/officeDocument/2006/relationships/font" Target="fonts/PoppinsLight-italic.ttf"/><Relationship Id="rId4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qfxCdkl9oX/Cw46F2xvs9wSLbA==">CgMxLjAyDWgudHI0bWE2MmVhdHQyDmguaDh3ZmZwbmRuenM5Mg5oLnNsajB2cDVlcGMxdjIOaC5wdmh3dng5anRjcHAyDmguNGtnOGh4OHg3aXBmOAByITEzMGl0bUREakZSYjJpWXlDQVBXcEZUaHNHTGo4X1pXbw==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2023-07-05T07:07:00Z</dcterms:created>
  <dc:creator>Kethavarapu Venkataratnavathi</dc:creator>
</cp:coreProperties>
</file>