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4CABE42A" w:rsidR="001C09C1" w:rsidRDefault="00000000">
      <w:pPr>
        <w:pStyle w:val="Date"/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F22041">
        <w:t>1</w:t>
      </w:r>
      <w:r w:rsidR="003A690A">
        <w:t>7</w:t>
      </w:r>
      <w:r w:rsidR="00F22041">
        <w:t>th</w:t>
      </w:r>
      <w:r w:rsidR="00460FC5" w:rsidRPr="00F22041">
        <w:t xml:space="preserve"> Oct 2023</w:t>
      </w:r>
    </w:p>
    <w:p w14:paraId="79556A4D" w14:textId="47E36DCE" w:rsidR="001C09C1" w:rsidRDefault="00C34E2D">
      <w:pPr>
        <w:pStyle w:val="Title"/>
      </w:pPr>
      <w:r>
        <w:t xml:space="preserve">Email verification </w:t>
      </w:r>
      <w:r w:rsidR="00606A75" w:rsidRPr="00F22041">
        <w:t>DATA ADAPTER</w:t>
      </w:r>
      <w:r w:rsidR="004B59BB" w:rsidRPr="00023F4C">
        <w:rPr>
          <w:color w:val="FF0000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79035066" w:rsidR="001C09C1" w:rsidRDefault="00605C5E">
      <w:pPr>
        <w:pStyle w:val="Heading1"/>
      </w:pPr>
      <w:r>
        <w:t>Overview</w:t>
      </w:r>
      <w:r w:rsidR="00460FC5">
        <w:br/>
      </w:r>
    </w:p>
    <w:p w14:paraId="253AD205" w14:textId="5D9BCB68" w:rsidR="004B59BB" w:rsidRPr="00B22496" w:rsidRDefault="00C34E2D" w:rsidP="00B81EAF">
      <w:pPr>
        <w:pStyle w:val="CommentText"/>
        <w:rPr>
          <w:color w:val="FF0000"/>
        </w:rPr>
      </w:pPr>
      <w:r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This </w:t>
      </w:r>
      <w:r w:rsidR="00A05E7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Email Verification Data Adapter</w:t>
      </w:r>
      <w:r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is the one and the only solid solution to verify that the e-mail address is valid, and reachable. </w:t>
      </w:r>
      <w:r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T</w:t>
      </w:r>
      <w:r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his </w:t>
      </w:r>
      <w:r w:rsidR="00761007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works </w:t>
      </w:r>
      <w:r w:rsidR="00761007"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by</w:t>
      </w:r>
      <w:r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validation with regex, validating the DNS for MX records </w:t>
      </w:r>
      <w:r w:rsidR="00761007"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and then</w:t>
      </w:r>
      <w:r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connecting the recipient's SMTP server for validation, without sending any email.</w:t>
      </w:r>
      <w:r w:rsidR="00460FC5">
        <w:rPr>
          <w:color w:val="FF0000"/>
        </w:rPr>
        <w:br/>
      </w:r>
    </w:p>
    <w:p w14:paraId="26C2009D" w14:textId="094756ED" w:rsidR="00C34E2D" w:rsidRDefault="00C34E2D" w:rsidP="00C34E2D">
      <w:pPr>
        <w:pStyle w:val="CommentText"/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</w:pPr>
      <w:r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T</w:t>
      </w:r>
      <w:r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his email verification </w:t>
      </w:r>
      <w:r w:rsidR="00A05E7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Data Adapter</w:t>
      </w:r>
      <w:r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</w:t>
      </w:r>
      <w:r w:rsidR="00DD1E43"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connects</w:t>
      </w:r>
      <w:r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to the mail server and checks in real-time if the email exists. </w:t>
      </w:r>
      <w:r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it</w:t>
      </w:r>
      <w:r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doesn’t </w:t>
      </w:r>
      <w:r w:rsidRPr="00C34E2D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use historical data.</w:t>
      </w:r>
      <w:r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</w:t>
      </w:r>
    </w:p>
    <w:p w14:paraId="02652C2D" w14:textId="77777777" w:rsidR="00C34E2D" w:rsidRDefault="00C34E2D" w:rsidP="00C34E2D">
      <w:pPr>
        <w:pStyle w:val="CommentText"/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</w:pPr>
    </w:p>
    <w:p w14:paraId="0A651923" w14:textId="7B9E490B" w:rsidR="00361BE0" w:rsidRDefault="00361BE0" w:rsidP="00C34E2D">
      <w:pPr>
        <w:pStyle w:val="CommentText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606A75" w:rsidRDefault="00606A75" w:rsidP="005264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707070"/>
          <w:sz w:val="22"/>
          <w:szCs w:val="22"/>
        </w:rPr>
      </w:pPr>
      <w:r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 xml:space="preserve">Volt Foundry </w:t>
      </w:r>
    </w:p>
    <w:p w14:paraId="3F34E5AF" w14:textId="11CC61DA" w:rsidR="00606A75" w:rsidRPr="00F22041" w:rsidRDefault="00460FC5" w:rsidP="00606A7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</w:pPr>
      <w:proofErr w:type="spellStart"/>
      <w:r w:rsidRPr="00F22041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>ApiLayer</w:t>
      </w:r>
      <w:proofErr w:type="spellEnd"/>
      <w:r w:rsidRPr="00F22041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 xml:space="preserve"> license key - </w:t>
      </w:r>
      <w:r w:rsidR="00C34E2D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fldChar w:fldCharType="begin"/>
      </w:r>
      <w:r w:rsidR="00C34E2D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instrText>HYPERLINK "</w:instrText>
      </w:r>
      <w:r w:rsidR="00C34E2D" w:rsidRPr="00C34E2D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instrText>https://apilayer.com/marketplace/email_verification-api</w:instrText>
      </w:r>
      <w:r w:rsidR="00C34E2D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instrText>"</w:instrText>
      </w:r>
      <w:r w:rsidR="00C34E2D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fldChar w:fldCharType="separate"/>
      </w:r>
      <w:r w:rsidR="00C34E2D" w:rsidRPr="000710A8">
        <w:rPr>
          <w:rStyle w:val="Hyperlink"/>
          <w:rFonts w:ascii="Cambria" w:eastAsiaTheme="majorEastAsia" w:hAnsi="Cambria" w:cs="Segoe UI"/>
          <w:sz w:val="22"/>
          <w:szCs w:val="22"/>
        </w:rPr>
        <w:t>https://apilayer.com/marketplace/email_verification-api</w:t>
      </w:r>
      <w:r w:rsidR="00C34E2D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fldChar w:fldCharType="end"/>
      </w:r>
      <w:r w:rsidR="00C34E2D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 xml:space="preserve"> </w:t>
      </w:r>
    </w:p>
    <w:p w14:paraId="00DA162F" w14:textId="77777777" w:rsidR="00460FC5" w:rsidRPr="00B22496" w:rsidRDefault="00460FC5" w:rsidP="00460FC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mbria" w:hAnsi="Cambria" w:cs="Segoe UI"/>
          <w:color w:val="FF0000"/>
          <w:sz w:val="22"/>
          <w:szCs w:val="22"/>
        </w:rPr>
      </w:pP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1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2CE57B6A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proofErr w:type="spellStart"/>
      <w:r w:rsidR="00761007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EmailVerification</w:t>
      </w:r>
      <w:r w:rsidR="009544F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</w:t>
      </w:r>
      <w:proofErr w:type="spellEnd"/>
      <w:r w:rsidR="00C663B9"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36A30809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  <w:r w:rsidR="009471EB"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3662BC71" wp14:editId="56B67153">
            <wp:extent cx="5274945" cy="2629535"/>
            <wp:effectExtent l="0" t="0" r="0" b="0"/>
            <wp:docPr id="8523133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13353" name="Picture 1" descr="A screenshot of a compu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EA42" w14:textId="7AF8BC46" w:rsidR="00C663B9" w:rsidRPr="00E03E78" w:rsidRDefault="00C663B9" w:rsidP="00E03E7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="009471EB"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71311D5F" wp14:editId="6DF1221C">
            <wp:extent cx="5274945" cy="186690"/>
            <wp:effectExtent l="0" t="0" r="0" b="3810"/>
            <wp:docPr id="2655995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99552" name="Picture 26559955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011A6DC0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r w:rsidR="009471EB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 xml:space="preserve">Email Verification </w:t>
      </w:r>
      <w:r w:rsidR="002B7D81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</w:t>
      </w:r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7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66935175" w:rsidR="00C663B9" w:rsidRPr="00B22496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Service Definition tab, select the service type as </w:t>
      </w:r>
      <w:proofErr w:type="spellStart"/>
      <w:r w:rsidR="00960A7B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EmailVerificationAPI</w:t>
      </w:r>
      <w:proofErr w:type="spellEnd"/>
      <w:r w:rsidRPr="000B09A7">
        <w:rPr>
          <w:rFonts w:ascii="Helvetica" w:eastAsia="Times New Roman" w:hAnsi="Helvetica" w:cs="Times New Roman"/>
          <w:color w:val="30353F"/>
          <w:sz w:val="20"/>
          <w:szCs w:val="20"/>
        </w:rPr>
        <w:t>,</w:t>
      </w:r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="00960A7B">
        <w:rPr>
          <w:rFonts w:ascii="Helvetica" w:eastAsia="Times New Roman" w:hAnsi="Helvetica" w:cs="Times New Roman"/>
          <w:noProof/>
          <w:color w:val="30353F"/>
          <w:sz w:val="20"/>
          <w:szCs w:val="20"/>
        </w:rPr>
        <w:lastRenderedPageBreak/>
        <w:drawing>
          <wp:inline distT="0" distB="0" distL="0" distR="0" wp14:anchorId="1EFB39EC" wp14:editId="3CA8D809">
            <wp:extent cx="5274945" cy="2955290"/>
            <wp:effectExtent l="0" t="0" r="0" b="3810"/>
            <wp:docPr id="161755398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53988" name="Picture 4" descr="A screenshot of a compute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038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bookmarkStart w:id="1" w:name="Executing"/>
    <w:bookmarkEnd w:id="1"/>
    <w:p w14:paraId="750F3EFE" w14:textId="1E20CA56" w:rsidR="00C663B9" w:rsidRPr="008935B8" w:rsidRDefault="00032792" w:rsidP="008935B8">
      <w:pPr>
        <w:rPr>
          <w:rFonts w:ascii="Helvetica" w:hAnsi="Helvetica"/>
          <w:color w:val="30353F"/>
          <w:sz w:val="20"/>
          <w:szCs w:val="20"/>
        </w:rPr>
      </w:pPr>
      <w:r>
        <w:fldChar w:fldCharType="begin"/>
      </w:r>
      <w:r>
        <w:instrText>HYPERLINK "javascript:void(0);"</w:instrText>
      </w:r>
      <w:r>
        <w:fldChar w:fldCharType="separate"/>
      </w:r>
      <w:hyperlink r:id="rId21" w:history="1">
        <w:hyperlink r:id="rId22" w:history="1">
          <w:hyperlink r:id="rId23" w:history="1">
            <w:hyperlink r:id="rId24" w:history="1">
              <w:hyperlink r:id="rId25" w:history="1">
                <w:hyperlink r:id="rId26" w:history="1">
                  <w:r w:rsidRPr="00032792">
                    <w:rPr>
                      <w:rFonts w:ascii="Helvetica" w:hAnsi="Helvetica"/>
                      <w:noProof/>
                      <w:color w:val="000000"/>
                      <w:sz w:val="20"/>
                      <w:szCs w:val="20"/>
                      <w:lang w:val="en-IN" w:eastAsia="zh-CN"/>
                    </w:rPr>
                    <w:pict w14:anchorId="65A3A4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      <v:fill o:detectmouseclick="t"/>
                        <v:imagedata r:id="rId27" o:title="Open"/>
                      </v:shape>
                    </w:pict>
                  </w:r>
                </w:hyperlink>
              </w:hyperlink>
            </w:hyperlink>
          </w:hyperlink>
        </w:hyperlink>
      </w:hyperlink>
      <w:r>
        <w:fldChar w:fldCharType="end"/>
      </w:r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8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 xml:space="preserve">Creating an </w:t>
      </w:r>
      <w:proofErr w:type="gramStart"/>
      <w:r>
        <w:rPr>
          <w:rFonts w:ascii="Helvetica" w:hAnsi="Helvetica"/>
          <w:color w:val="30353F"/>
        </w:rPr>
        <w:t>Operation</w:t>
      </w:r>
      <w:proofErr w:type="gramEnd"/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64091A2A" w:rsidR="008935B8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 xml:space="preserve">From the </w:t>
      </w:r>
      <w:proofErr w:type="gramStart"/>
      <w:r>
        <w:rPr>
          <w:rFonts w:ascii="Helvetica" w:hAnsi="Helvetica"/>
          <w:color w:val="30353F"/>
          <w:sz w:val="20"/>
          <w:szCs w:val="20"/>
        </w:rPr>
        <w:t>drop down</w:t>
      </w:r>
      <w:proofErr w:type="gramEnd"/>
      <w:r>
        <w:rPr>
          <w:rFonts w:ascii="Helvetica" w:hAnsi="Helvetica"/>
          <w:color w:val="30353F"/>
          <w:sz w:val="20"/>
          <w:szCs w:val="20"/>
        </w:rPr>
        <w:t xml:space="preserve">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 w:rsidR="003550D4">
        <w:rPr>
          <w:rFonts w:ascii="Helvetica" w:hAnsi="Helvetica"/>
          <w:noProof/>
          <w:color w:val="30353F"/>
          <w:sz w:val="20"/>
          <w:szCs w:val="20"/>
        </w:rPr>
        <w:lastRenderedPageBreak/>
        <w:drawing>
          <wp:inline distT="0" distB="0" distL="0" distR="0" wp14:anchorId="5B61A65F" wp14:editId="18330E52">
            <wp:extent cx="5274945" cy="2127250"/>
            <wp:effectExtent l="0" t="0" r="0" b="6350"/>
            <wp:docPr id="26968434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84345" name="Picture 5" descr="A screenshot of a computer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61A">
        <w:rPr>
          <w:rFonts w:ascii="Helvetica" w:hAnsi="Helvetica"/>
          <w:color w:val="30353F"/>
          <w:sz w:val="20"/>
          <w:szCs w:val="20"/>
        </w:rPr>
        <w:br/>
      </w:r>
      <w:r>
        <w:rPr>
          <w:rFonts w:ascii="Helvetica" w:hAnsi="Helvetica"/>
          <w:color w:val="30353F"/>
          <w:sz w:val="20"/>
          <w:szCs w:val="20"/>
        </w:rPr>
        <w:br/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 xml:space="preserve">Executing an </w:t>
      </w:r>
      <w:proofErr w:type="gramStart"/>
      <w:r w:rsidRPr="008935B8">
        <w:t>Operation</w:t>
      </w:r>
      <w:proofErr w:type="gramEnd"/>
    </w:p>
    <w:p w14:paraId="23CCFF3D" w14:textId="5DFECE63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  <w:r w:rsidR="003550D4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134091CC" wp14:editId="6AD5693C">
            <wp:extent cx="5274945" cy="2127250"/>
            <wp:effectExtent l="0" t="0" r="0" b="6350"/>
            <wp:docPr id="520273113" name="Picture 5202731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84345" name="Picture 5" descr="A screenshot of a computer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28FAE40F" w:rsidR="00C663B9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A407005">
        <w:rPr>
          <w:rFonts w:ascii="Helvetica" w:hAnsi="Helvetica"/>
          <w:color w:val="30353F"/>
          <w:sz w:val="20"/>
          <w:szCs w:val="20"/>
        </w:rPr>
        <w:t>On the Operation Page, in the Request Input tab, enter a TEST VALUE for all the fields.</w:t>
      </w:r>
      <w:r w:rsidR="003550D4">
        <w:rPr>
          <w:rFonts w:ascii="Helvetica" w:hAnsi="Helvetica"/>
          <w:noProof/>
          <w:color w:val="30353F"/>
          <w:sz w:val="20"/>
          <w:szCs w:val="20"/>
        </w:rPr>
        <w:lastRenderedPageBreak/>
        <w:drawing>
          <wp:inline distT="0" distB="0" distL="0" distR="0" wp14:anchorId="798C55B0" wp14:editId="29061EB9">
            <wp:extent cx="5274945" cy="3604260"/>
            <wp:effectExtent l="0" t="0" r="0" b="2540"/>
            <wp:docPr id="1453518368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18368" name="Picture 7" descr="A screenshot of a computer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5A6">
        <w:rPr>
          <w:rFonts w:ascii="Helvetica" w:hAnsi="Helvetica"/>
          <w:color w:val="30353F"/>
          <w:sz w:val="20"/>
          <w:szCs w:val="20"/>
        </w:rPr>
        <w:br/>
      </w:r>
      <w:r w:rsidR="007665A6">
        <w:rPr>
          <w:rFonts w:ascii="Helvetica" w:hAnsi="Helvetica"/>
          <w:color w:val="30353F"/>
          <w:sz w:val="20"/>
          <w:szCs w:val="20"/>
        </w:rPr>
        <w:br/>
      </w:r>
      <w:r w:rsidR="003550D4">
        <w:rPr>
          <w:noProof/>
        </w:rPr>
        <w:drawing>
          <wp:inline distT="0" distB="0" distL="0" distR="0" wp14:anchorId="3C0BD337" wp14:editId="5DF20712">
            <wp:extent cx="5274945" cy="3517900"/>
            <wp:effectExtent l="0" t="0" r="0" b="0"/>
            <wp:docPr id="18731163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16324" name="Picture 1873116324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9DF3090" w14:textId="39FBC169" w:rsidR="00463C71" w:rsidRDefault="00463C71" w:rsidP="00463C71">
      <w:p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</w:p>
    <w:p w14:paraId="79AEB966" w14:textId="1A062E37" w:rsidR="00C663B9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 w:rsidR="00BD5EE6">
        <w:rPr>
          <w:rFonts w:ascii="Helvetica" w:hAnsi="Helvetica"/>
          <w:color w:val="30353F"/>
          <w:sz w:val="20"/>
          <w:szCs w:val="20"/>
        </w:rPr>
        <w:br/>
      </w:r>
      <w:r w:rsidR="00463C71">
        <w:rPr>
          <w:rFonts w:ascii="Helvetica" w:hAnsi="Helvetica"/>
          <w:color w:val="30353F"/>
          <w:sz w:val="20"/>
          <w:szCs w:val="20"/>
        </w:rPr>
        <w:br/>
      </w:r>
      <w:r w:rsidR="00463C71">
        <w:rPr>
          <w:rFonts w:ascii="Helvetica" w:hAnsi="Helvetica"/>
          <w:color w:val="30353F"/>
          <w:sz w:val="20"/>
          <w:szCs w:val="20"/>
        </w:rPr>
        <w:lastRenderedPageBreak/>
        <w:br/>
      </w:r>
      <w:r w:rsidR="003550D4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7A27B4A4" wp14:editId="2E2509B4">
            <wp:extent cx="5274945" cy="3854450"/>
            <wp:effectExtent l="0" t="0" r="0" b="6350"/>
            <wp:docPr id="765394088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94088" name="Picture 6" descr="A screenshot of a computer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8935B8" w:rsidRDefault="00000000" w:rsidP="008935B8">
      <w:pPr>
        <w:pStyle w:val="Heading2"/>
      </w:pPr>
      <w:hyperlink r:id="rId34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Pr="00176797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1BF23F37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  <w:r w:rsidR="00452B39">
        <w:br/>
      </w:r>
    </w:p>
    <w:p w14:paraId="1AD1BC6D" w14:textId="77777777" w:rsidR="00935E28" w:rsidRDefault="00935E28" w:rsidP="0026720A">
      <w:pPr>
        <w:pStyle w:val="Heading2"/>
        <w:numPr>
          <w:ilvl w:val="0"/>
          <w:numId w:val="0"/>
        </w:numPr>
        <w:ind w:left="720"/>
      </w:pPr>
    </w:p>
    <w:p w14:paraId="5F2FD4F7" w14:textId="7B365958" w:rsidR="00452B39" w:rsidRDefault="000A3397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Operations:</w:t>
      </w:r>
      <w:r w:rsidR="00935E28">
        <w:rPr>
          <w:rFonts w:asciiTheme="minorHAnsi" w:hAnsiTheme="minorHAnsi"/>
          <w:szCs w:val="22"/>
        </w:rPr>
        <w:br/>
      </w:r>
    </w:p>
    <w:p w14:paraId="26715FA9" w14:textId="3E6822D1" w:rsidR="00452B39" w:rsidRDefault="00452B39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bookmarkStart w:id="3" w:name="OLE_LINK44"/>
      <w:bookmarkStart w:id="4" w:name="OLE_LINK45"/>
      <w:proofErr w:type="spellStart"/>
      <w:r>
        <w:rPr>
          <w:rFonts w:asciiTheme="minorHAnsi" w:hAnsiTheme="minorHAnsi"/>
          <w:szCs w:val="22"/>
        </w:rPr>
        <w:t>i</w:t>
      </w:r>
      <w:proofErr w:type="spellEnd"/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gramStart"/>
      <w:r w:rsidR="0081059E" w:rsidRPr="0081059E">
        <w:rPr>
          <w:rFonts w:asciiTheme="minorHAnsi" w:hAnsiTheme="minorHAnsi"/>
          <w:szCs w:val="22"/>
        </w:rPr>
        <w:t>verify</w:t>
      </w:r>
      <w:proofErr w:type="gramEnd"/>
    </w:p>
    <w:p w14:paraId="04797F99" w14:textId="77777777" w:rsidR="000D7D28" w:rsidRPr="004A1C27" w:rsidRDefault="000D7D28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0D7D28" w14:paraId="157D4A5F" w14:textId="77777777" w:rsidTr="00607480">
        <w:tc>
          <w:tcPr>
            <w:tcW w:w="2830" w:type="dxa"/>
          </w:tcPr>
          <w:p w14:paraId="1A048F0C" w14:textId="40EFD0FF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3BF08724" w14:textId="27EC01C8" w:rsidR="000D7D28" w:rsidRPr="00445813" w:rsidRDefault="00445813" w:rsidP="00445813">
            <w:pPr>
              <w:pStyle w:val="Heading3"/>
              <w:ind w:left="0"/>
              <w:rPr>
                <w:lang w:val="en-IN"/>
              </w:rPr>
            </w:pPr>
            <w:r w:rsidRPr="00445813">
              <w:rPr>
                <w:lang w:val="en-IN"/>
              </w:rPr>
              <w:t>Validates and verifies an email address measuring deliverability and quality</w:t>
            </w:r>
          </w:p>
        </w:tc>
      </w:tr>
      <w:tr w:rsidR="000D7D28" w14:paraId="27DA2669" w14:textId="77777777" w:rsidTr="000D7D28">
        <w:tc>
          <w:tcPr>
            <w:tcW w:w="2830" w:type="dxa"/>
          </w:tcPr>
          <w:p w14:paraId="029ACD45" w14:textId="207B9AD6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733D8DF5" w14:textId="77777777" w:rsidR="000D7D28" w:rsidRP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618C092E" w14:textId="142BE488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r w:rsidR="00987C09">
              <w:rPr>
                <w:rFonts w:asciiTheme="minorHAnsi" w:hAnsiTheme="minorHAnsi"/>
                <w:szCs w:val="22"/>
              </w:rPr>
              <w:t>email</w:t>
            </w:r>
            <w:r>
              <w:rPr>
                <w:rFonts w:asciiTheme="minorHAnsi" w:hAnsiTheme="minorHAnsi"/>
                <w:szCs w:val="22"/>
              </w:rPr>
              <w:t xml:space="preserve">(required) - String </w:t>
            </w:r>
            <w:r w:rsidR="00987C09">
              <w:rPr>
                <w:rFonts w:asciiTheme="minorHAnsi" w:hAnsiTheme="minorHAnsi"/>
                <w:szCs w:val="22"/>
              </w:rPr>
              <w:t>-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987C09">
              <w:rPr>
                <w:rFonts w:asciiTheme="minorHAnsi" w:hAnsiTheme="minorHAnsi"/>
                <w:szCs w:val="22"/>
              </w:rPr>
              <w:t>email to check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0CD91E49" w14:textId="77777777" w:rsidR="000D7D28" w:rsidRP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3A5FF8E0" w14:textId="77777777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07C190BC" w14:textId="12F83536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0D7D28" w14:paraId="4F5A3C57" w14:textId="77777777" w:rsidTr="000D7D28">
        <w:tc>
          <w:tcPr>
            <w:tcW w:w="2830" w:type="dxa"/>
          </w:tcPr>
          <w:p w14:paraId="770057C2" w14:textId="0231E1F3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lastRenderedPageBreak/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6333A553" w14:textId="76B6C5D6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666F9EC6" w14:textId="77777777" w:rsidR="00452B39" w:rsidRDefault="00452B39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bookmarkEnd w:id="3"/>
    <w:bookmarkEnd w:id="4"/>
    <w:p w14:paraId="2C26AA5C" w14:textId="77777777" w:rsidR="00DA6845" w:rsidRDefault="00DA6845" w:rsidP="000D7D28">
      <w:pPr>
        <w:pStyle w:val="Heading2"/>
        <w:numPr>
          <w:ilvl w:val="0"/>
          <w:numId w:val="0"/>
        </w:numPr>
      </w:pPr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54D0443C" w:rsidR="00756204" w:rsidRPr="00B22496" w:rsidRDefault="00756204" w:rsidP="00460FC5">
      <w:pPr>
        <w:spacing w:before="100" w:beforeAutospacing="1" w:after="100" w:afterAutospacing="1" w:line="240" w:lineRule="auto"/>
        <w:ind w:left="720"/>
        <w:rPr>
          <w:color w:val="FF0000"/>
        </w:rPr>
      </w:pPr>
    </w:p>
    <w:sectPr w:rsidR="00756204" w:rsidRPr="00B22496">
      <w:footerReference w:type="default" r:id="rId3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95A6" w14:textId="77777777" w:rsidR="00032792" w:rsidRDefault="00032792">
      <w:pPr>
        <w:spacing w:after="0" w:line="240" w:lineRule="auto"/>
      </w:pPr>
      <w:r>
        <w:separator/>
      </w:r>
    </w:p>
    <w:p w14:paraId="690CD12D" w14:textId="77777777" w:rsidR="00032792" w:rsidRDefault="00032792"/>
  </w:endnote>
  <w:endnote w:type="continuationSeparator" w:id="0">
    <w:p w14:paraId="3DBCEA78" w14:textId="77777777" w:rsidR="00032792" w:rsidRDefault="00032792">
      <w:pPr>
        <w:spacing w:after="0" w:line="240" w:lineRule="auto"/>
      </w:pPr>
      <w:r>
        <w:continuationSeparator/>
      </w:r>
    </w:p>
    <w:p w14:paraId="137BC05C" w14:textId="77777777" w:rsidR="00032792" w:rsidRDefault="00032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CC86" w14:textId="77777777" w:rsidR="00032792" w:rsidRDefault="00032792">
      <w:pPr>
        <w:spacing w:after="0" w:line="240" w:lineRule="auto"/>
      </w:pPr>
      <w:r>
        <w:separator/>
      </w:r>
    </w:p>
    <w:p w14:paraId="401403B3" w14:textId="77777777" w:rsidR="00032792" w:rsidRDefault="00032792"/>
  </w:footnote>
  <w:footnote w:type="continuationSeparator" w:id="0">
    <w:p w14:paraId="30885C40" w14:textId="77777777" w:rsidR="00032792" w:rsidRDefault="00032792">
      <w:pPr>
        <w:spacing w:after="0" w:line="240" w:lineRule="auto"/>
      </w:pPr>
      <w:r>
        <w:continuationSeparator/>
      </w:r>
    </w:p>
    <w:p w14:paraId="7A47D5BE" w14:textId="77777777" w:rsidR="00032792" w:rsidRDefault="000327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3DFC"/>
    <w:multiLevelType w:val="multilevel"/>
    <w:tmpl w:val="659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1"/>
    <w:lvlOverride w:ilvl="0">
      <w:startOverride w:val="1"/>
    </w:lvlOverride>
  </w:num>
  <w:num w:numId="23" w16cid:durableId="650597104">
    <w:abstractNumId w:val="1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913078889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2792"/>
    <w:rsid w:val="00037D91"/>
    <w:rsid w:val="00041748"/>
    <w:rsid w:val="0006770D"/>
    <w:rsid w:val="00067B82"/>
    <w:rsid w:val="00084559"/>
    <w:rsid w:val="000A2C28"/>
    <w:rsid w:val="000A3397"/>
    <w:rsid w:val="000B09A7"/>
    <w:rsid w:val="000D6B09"/>
    <w:rsid w:val="000D7D28"/>
    <w:rsid w:val="000E3213"/>
    <w:rsid w:val="000E4198"/>
    <w:rsid w:val="000E4AF7"/>
    <w:rsid w:val="000E622D"/>
    <w:rsid w:val="000E77E2"/>
    <w:rsid w:val="000F30AD"/>
    <w:rsid w:val="000F7774"/>
    <w:rsid w:val="00112246"/>
    <w:rsid w:val="001147F0"/>
    <w:rsid w:val="001267A5"/>
    <w:rsid w:val="001306D9"/>
    <w:rsid w:val="001335A0"/>
    <w:rsid w:val="00137AE9"/>
    <w:rsid w:val="001403A7"/>
    <w:rsid w:val="00157EC7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33DBA"/>
    <w:rsid w:val="002400CC"/>
    <w:rsid w:val="00247175"/>
    <w:rsid w:val="002550CD"/>
    <w:rsid w:val="00265E8E"/>
    <w:rsid w:val="0026720A"/>
    <w:rsid w:val="002724C3"/>
    <w:rsid w:val="00274B4E"/>
    <w:rsid w:val="002B7D81"/>
    <w:rsid w:val="002D0CCD"/>
    <w:rsid w:val="002E340B"/>
    <w:rsid w:val="002E77BF"/>
    <w:rsid w:val="0030671F"/>
    <w:rsid w:val="00310E44"/>
    <w:rsid w:val="0032230D"/>
    <w:rsid w:val="00331754"/>
    <w:rsid w:val="00340703"/>
    <w:rsid w:val="00343742"/>
    <w:rsid w:val="0034421A"/>
    <w:rsid w:val="00350F63"/>
    <w:rsid w:val="003550D4"/>
    <w:rsid w:val="00361BE0"/>
    <w:rsid w:val="003708F1"/>
    <w:rsid w:val="00397891"/>
    <w:rsid w:val="003A690A"/>
    <w:rsid w:val="003B5F88"/>
    <w:rsid w:val="00401A8F"/>
    <w:rsid w:val="00405F97"/>
    <w:rsid w:val="004201B8"/>
    <w:rsid w:val="004413B0"/>
    <w:rsid w:val="00442DEA"/>
    <w:rsid w:val="00445813"/>
    <w:rsid w:val="00452B39"/>
    <w:rsid w:val="00454D5B"/>
    <w:rsid w:val="00460FC5"/>
    <w:rsid w:val="00463C71"/>
    <w:rsid w:val="00471F11"/>
    <w:rsid w:val="00475584"/>
    <w:rsid w:val="00486ACE"/>
    <w:rsid w:val="004875FC"/>
    <w:rsid w:val="004A31D1"/>
    <w:rsid w:val="004A7F59"/>
    <w:rsid w:val="004B59BB"/>
    <w:rsid w:val="004D29A3"/>
    <w:rsid w:val="004D5089"/>
    <w:rsid w:val="004E3E78"/>
    <w:rsid w:val="004E615A"/>
    <w:rsid w:val="0050318E"/>
    <w:rsid w:val="005178B3"/>
    <w:rsid w:val="005264D4"/>
    <w:rsid w:val="00531D83"/>
    <w:rsid w:val="005436E5"/>
    <w:rsid w:val="00576223"/>
    <w:rsid w:val="005A7829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6E28EB"/>
    <w:rsid w:val="00722478"/>
    <w:rsid w:val="0073067E"/>
    <w:rsid w:val="00746E3B"/>
    <w:rsid w:val="00750C75"/>
    <w:rsid w:val="00756204"/>
    <w:rsid w:val="00761007"/>
    <w:rsid w:val="007665A6"/>
    <w:rsid w:val="00777C1E"/>
    <w:rsid w:val="0079661A"/>
    <w:rsid w:val="007A6B29"/>
    <w:rsid w:val="007C1279"/>
    <w:rsid w:val="007D596C"/>
    <w:rsid w:val="007F00C8"/>
    <w:rsid w:val="007F2325"/>
    <w:rsid w:val="007F6186"/>
    <w:rsid w:val="00800F22"/>
    <w:rsid w:val="008045F0"/>
    <w:rsid w:val="00807A27"/>
    <w:rsid w:val="0081059E"/>
    <w:rsid w:val="008326E4"/>
    <w:rsid w:val="0084175C"/>
    <w:rsid w:val="008564CF"/>
    <w:rsid w:val="00856900"/>
    <w:rsid w:val="00857C99"/>
    <w:rsid w:val="0086271F"/>
    <w:rsid w:val="008823FF"/>
    <w:rsid w:val="008935B8"/>
    <w:rsid w:val="008B1426"/>
    <w:rsid w:val="008B7590"/>
    <w:rsid w:val="008C237E"/>
    <w:rsid w:val="008C5007"/>
    <w:rsid w:val="008C5E86"/>
    <w:rsid w:val="00903EFB"/>
    <w:rsid w:val="00911032"/>
    <w:rsid w:val="009245EF"/>
    <w:rsid w:val="00925FDA"/>
    <w:rsid w:val="00935E28"/>
    <w:rsid w:val="009471EB"/>
    <w:rsid w:val="0095113C"/>
    <w:rsid w:val="00951800"/>
    <w:rsid w:val="009544FA"/>
    <w:rsid w:val="009602E6"/>
    <w:rsid w:val="00960A7B"/>
    <w:rsid w:val="009612CD"/>
    <w:rsid w:val="00976E40"/>
    <w:rsid w:val="00987C09"/>
    <w:rsid w:val="00991BE3"/>
    <w:rsid w:val="00993BA8"/>
    <w:rsid w:val="009C059B"/>
    <w:rsid w:val="009E59B7"/>
    <w:rsid w:val="009E64DC"/>
    <w:rsid w:val="009E6A84"/>
    <w:rsid w:val="009E7E7C"/>
    <w:rsid w:val="009F4C18"/>
    <w:rsid w:val="00A02B57"/>
    <w:rsid w:val="00A05E71"/>
    <w:rsid w:val="00A35969"/>
    <w:rsid w:val="00A564C0"/>
    <w:rsid w:val="00A64A00"/>
    <w:rsid w:val="00A7017C"/>
    <w:rsid w:val="00A77329"/>
    <w:rsid w:val="00A933C3"/>
    <w:rsid w:val="00AA08E7"/>
    <w:rsid w:val="00AA3CD2"/>
    <w:rsid w:val="00AC2634"/>
    <w:rsid w:val="00AD7AC6"/>
    <w:rsid w:val="00AE2240"/>
    <w:rsid w:val="00AF4600"/>
    <w:rsid w:val="00B15F61"/>
    <w:rsid w:val="00B22496"/>
    <w:rsid w:val="00B345ED"/>
    <w:rsid w:val="00B522D2"/>
    <w:rsid w:val="00B5559B"/>
    <w:rsid w:val="00B638DC"/>
    <w:rsid w:val="00B66BCA"/>
    <w:rsid w:val="00B7198C"/>
    <w:rsid w:val="00B81EAF"/>
    <w:rsid w:val="00B87038"/>
    <w:rsid w:val="00BA30E5"/>
    <w:rsid w:val="00BC1067"/>
    <w:rsid w:val="00BD5EE6"/>
    <w:rsid w:val="00BE5D54"/>
    <w:rsid w:val="00C01348"/>
    <w:rsid w:val="00C32E65"/>
    <w:rsid w:val="00C34E2D"/>
    <w:rsid w:val="00C6597F"/>
    <w:rsid w:val="00C663B9"/>
    <w:rsid w:val="00C8228B"/>
    <w:rsid w:val="00CA2A53"/>
    <w:rsid w:val="00CB6789"/>
    <w:rsid w:val="00CC6096"/>
    <w:rsid w:val="00CD415B"/>
    <w:rsid w:val="00CD77F6"/>
    <w:rsid w:val="00CD7B7E"/>
    <w:rsid w:val="00CF13F4"/>
    <w:rsid w:val="00D10B48"/>
    <w:rsid w:val="00D21D7E"/>
    <w:rsid w:val="00D2283A"/>
    <w:rsid w:val="00D43CB2"/>
    <w:rsid w:val="00D67C8F"/>
    <w:rsid w:val="00D72D13"/>
    <w:rsid w:val="00DA6845"/>
    <w:rsid w:val="00DD1E43"/>
    <w:rsid w:val="00DF4ACE"/>
    <w:rsid w:val="00E03E78"/>
    <w:rsid w:val="00E03F3C"/>
    <w:rsid w:val="00E10202"/>
    <w:rsid w:val="00E23CE0"/>
    <w:rsid w:val="00E31994"/>
    <w:rsid w:val="00E367B0"/>
    <w:rsid w:val="00E444C9"/>
    <w:rsid w:val="00E450DA"/>
    <w:rsid w:val="00E4639A"/>
    <w:rsid w:val="00E675B4"/>
    <w:rsid w:val="00EB1FB5"/>
    <w:rsid w:val="00EB3231"/>
    <w:rsid w:val="00F052AC"/>
    <w:rsid w:val="00F1519F"/>
    <w:rsid w:val="00F1767C"/>
    <w:rsid w:val="00F22041"/>
    <w:rsid w:val="00F32720"/>
    <w:rsid w:val="00F329FE"/>
    <w:rsid w:val="00F40409"/>
    <w:rsid w:val="00F4702C"/>
    <w:rsid w:val="00F74C60"/>
    <w:rsid w:val="00F8781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460F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34E2D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manage.hclvoltmx.com/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nage.hclvoltmx.com/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image" Target="media/image13.png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9.gif"/><Relationship Id="rId30" Type="http://schemas.openxmlformats.org/officeDocument/2006/relationships/image" Target="media/image11.png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0C1392"/>
    <w:rsid w:val="00167412"/>
    <w:rsid w:val="00352760"/>
    <w:rsid w:val="00576458"/>
    <w:rsid w:val="005B67E6"/>
    <w:rsid w:val="00646051"/>
    <w:rsid w:val="006734E7"/>
    <w:rsid w:val="006E486A"/>
    <w:rsid w:val="007051AE"/>
    <w:rsid w:val="0073306E"/>
    <w:rsid w:val="008045F0"/>
    <w:rsid w:val="008511BA"/>
    <w:rsid w:val="00A07DA8"/>
    <w:rsid w:val="00A307B1"/>
    <w:rsid w:val="00A477F3"/>
    <w:rsid w:val="00E6499A"/>
    <w:rsid w:val="00E83BF8"/>
    <w:rsid w:val="00E90645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7E4D4-C10C-5748-BC59-E50EB913FD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Vishnuvardhan Nasina</cp:lastModifiedBy>
  <cp:revision>61</cp:revision>
  <dcterms:created xsi:type="dcterms:W3CDTF">2023-10-13T10:00:00Z</dcterms:created>
  <dcterms:modified xsi:type="dcterms:W3CDTF">2023-10-17T10:46:00Z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