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="288" w:lineRule="auto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Date</w:t>
      </w:r>
      <w:r w:rsidDel="00000000" w:rsidR="00000000" w:rsidRPr="00000000">
        <w:rPr>
          <w:rFonts w:ascii="Cambria" w:cs="Cambria" w:eastAsia="Cambria" w:hAnsi="Cambria"/>
          <w:sz w:val="28"/>
          <w:szCs w:val="28"/>
          <w:highlight w:val="white"/>
          <w:rtl w:val="0"/>
        </w:rPr>
        <w:t xml:space="preserve"> :  31-Mar-26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Bdr>
          <w:left w:color="000000" w:space="10" w:sz="48" w:val="single"/>
        </w:pBdr>
        <w:spacing w:after="0" w:before="240" w:line="288" w:lineRule="auto"/>
        <w:rPr>
          <w:rFonts w:ascii="Cambria" w:cs="Cambria" w:eastAsia="Cambria" w:hAnsi="Cambria"/>
          <w:b w:val="1"/>
          <w:bCs w:val="1"/>
          <w:smallCaps w:val="1"/>
          <w:color w:val="2e2e2e"/>
          <w:sz w:val="48"/>
          <w:szCs w:val="4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48"/>
          <w:szCs w:val="48"/>
          <w:rtl w:val="0"/>
        </w:rPr>
        <w:t xml:space="preserve">AION APPLICATION</w:t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pBdr>
          <w:left w:color="000000" w:space="10" w:sz="48" w:val="single"/>
        </w:pBdr>
        <w:spacing w:after="0" w:line="288" w:lineRule="auto"/>
        <w:rPr>
          <w:rFonts w:ascii="Cambria" w:cs="Cambria" w:eastAsia="Cambria" w:hAnsi="Cambria"/>
          <w:b w:val="1"/>
          <w:bCs w:val="1"/>
          <w:smallCaps w:val="1"/>
          <w:color w:val="2e2e2e"/>
          <w:sz w:val="38"/>
          <w:szCs w:val="3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38"/>
          <w:szCs w:val="38"/>
          <w:rtl w:val="0"/>
        </w:rPr>
        <w:t xml:space="preserve">VERSION: 1.0.0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numPr>
          <w:ilvl w:val="0"/>
          <w:numId w:val="22"/>
        </w:numPr>
        <w:spacing w:after="60" w:before="600" w:line="288" w:lineRule="auto"/>
        <w:ind w:left="36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OVERVIEW</w:t>
      </w:r>
    </w:p>
    <w:p w:rsidR="00000000" w:rsidDel="00000000" w:rsidP="00000000" w:rsidRDefault="00000000" w:rsidRPr="00000000" w14:paraId="00000005">
      <w:pPr>
        <w:spacing w:after="240" w:before="240" w:line="288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AION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provides access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HCL Software’s AI lifecycle management platform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through both REST APIs and a mobile application interface. It allows organizations to seamlessly consume pre-trained machine learning models by sending simple HTTP requests to AION’s prediction backend.</w:t>
      </w:r>
    </w:p>
    <w:p w:rsidR="00000000" w:rsidDel="00000000" w:rsidP="00000000" w:rsidRDefault="00000000" w:rsidRPr="00000000" w14:paraId="00000006">
      <w:pPr>
        <w:spacing w:after="240" w:before="240" w:line="288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Real Estate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developed using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Volt MX Iris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showcases AION’s machine learning inference capabilities. It predicts the market price of a residential property based on user-provided inputs such as: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after="0" w:afterAutospacing="0" w:before="24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Number of bedrooms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Number of bathrooms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after="0" w:afterAutospacing="0" w:before="0" w:beforeAutospacing="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Total square footage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240" w:before="0" w:beforeAutospacing="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Year the property was built</w:t>
      </w:r>
    </w:p>
    <w:p w:rsidR="00000000" w:rsidDel="00000000" w:rsidP="00000000" w:rsidRDefault="00000000" w:rsidRPr="00000000" w14:paraId="0000000B">
      <w:pPr>
        <w:spacing w:after="240" w:before="240" w:line="288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application integrates with the AION prediction service (Use Case ID: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AI261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) via an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Orchestration Service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Volt MX Foundry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This orchestration layer manages the complete workflow by: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Handling authentication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Invoking the prediction API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0" w:beforeAutospacing="0" w:line="288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Returning the predicted result to the application</w:t>
      </w:r>
    </w:p>
    <w:p w:rsidR="00000000" w:rsidDel="00000000" w:rsidP="00000000" w:rsidRDefault="00000000" w:rsidRPr="00000000" w14:paraId="0000000F">
      <w:pPr>
        <w:spacing w:after="240" w:before="240" w:line="288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This architecture demonstrates how AION simplifies the integration of AI into applications. Developers can build AI-powered mobile and web solutions without needing to manage or deploy machine learning models themselves, making it highly efficient for real-world use cases.</w:t>
      </w:r>
    </w:p>
    <w:p w:rsidR="00000000" w:rsidDel="00000000" w:rsidP="00000000" w:rsidRDefault="00000000" w:rsidRPr="00000000" w14:paraId="00000010">
      <w:pPr>
        <w:spacing w:after="120" w:line="288" w:lineRule="auto"/>
        <w:ind w:left="36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Use case:</w:t>
      </w:r>
    </w:p>
    <w:p w:rsidR="00000000" w:rsidDel="00000000" w:rsidP="00000000" w:rsidRDefault="00000000" w:rsidRPr="00000000" w14:paraId="00000012">
      <w:pPr>
        <w:numPr>
          <w:ilvl w:val="0"/>
          <w:numId w:val="23"/>
        </w:numPr>
        <w:spacing w:after="16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Real Estate Price Prediction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Predict the market value of a residential property by providing the number of bedrooms, bathrooms, square footage, and year built, using an AION-hosted ML regression model.</w:t>
      </w:r>
    </w:p>
    <w:p w:rsidR="00000000" w:rsidDel="00000000" w:rsidP="00000000" w:rsidRDefault="00000000" w:rsidRPr="00000000" w14:paraId="00000013">
      <w:pPr>
        <w:numPr>
          <w:ilvl w:val="0"/>
          <w:numId w:val="23"/>
        </w:numPr>
        <w:spacing w:after="16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AI-Powered Mobile Applications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Integrate AION's REST prediction API into Volt MX mobile apps to deliver real-time ML inference results to end users on iOS and Android.</w:t>
      </w:r>
    </w:p>
    <w:p w:rsidR="00000000" w:rsidDel="00000000" w:rsidP="00000000" w:rsidRDefault="00000000" w:rsidRPr="00000000" w14:paraId="00000014">
      <w:pPr>
        <w:numPr>
          <w:ilvl w:val="0"/>
          <w:numId w:val="23"/>
        </w:numPr>
        <w:spacing w:after="16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Automated Property Valuation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Enable real estate agents, buyers, and sellers to instantly estimate property prices without manual appraisal, improving decision-making speed.</w:t>
      </w:r>
    </w:p>
    <w:p w:rsidR="00000000" w:rsidDel="00000000" w:rsidP="00000000" w:rsidRDefault="00000000" w:rsidRPr="00000000" w14:paraId="00000015">
      <w:pPr>
        <w:numPr>
          <w:ilvl w:val="0"/>
          <w:numId w:val="23"/>
        </w:numPr>
        <w:spacing w:after="16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ML Model Consumption via API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Enable developers to consume AION-hosted ML models using simple REST API calls with structured JSON input.</w:t>
      </w:r>
    </w:p>
    <w:p w:rsidR="00000000" w:rsidDel="00000000" w:rsidP="00000000" w:rsidRDefault="00000000" w:rsidRPr="00000000" w14:paraId="00000016">
      <w:pPr>
        <w:spacing w:after="160" w:line="240" w:lineRule="auto"/>
        <w:ind w:left="108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6"/>
          <w:szCs w:val="26"/>
          <w:rtl w:val="0"/>
        </w:rPr>
        <w:t xml:space="preserve">Features:</w:t>
      </w:r>
    </w:p>
    <w:p w:rsidR="00000000" w:rsidDel="00000000" w:rsidP="00000000" w:rsidRDefault="00000000" w:rsidRPr="00000000" w14:paraId="00000018">
      <w:pPr>
        <w:numPr>
          <w:ilvl w:val="0"/>
          <w:numId w:val="19"/>
        </w:numPr>
        <w:spacing w:after="240" w:before="24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User-Friendly Input Interface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Allows users to enter property details such as bedrooms, bathrooms, square footage, and year built.</w:t>
      </w:r>
    </w:p>
    <w:p w:rsidR="00000000" w:rsidDel="00000000" w:rsidP="00000000" w:rsidRDefault="00000000" w:rsidRPr="00000000" w14:paraId="00000019">
      <w:pPr>
        <w:numPr>
          <w:ilvl w:val="0"/>
          <w:numId w:val="19"/>
        </w:numPr>
        <w:spacing w:after="240" w:before="24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Real-Time Prediction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Provides instant property price predictions by calling AION’s backend services.</w:t>
      </w:r>
    </w:p>
    <w:p w:rsidR="00000000" w:rsidDel="00000000" w:rsidP="00000000" w:rsidRDefault="00000000" w:rsidRPr="00000000" w14:paraId="0000001A">
      <w:pPr>
        <w:numPr>
          <w:ilvl w:val="0"/>
          <w:numId w:val="19"/>
        </w:numPr>
        <w:spacing w:after="240" w:before="24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Orchestration Service 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Uses Volt MX Foundry to handle authentication and prediction API calls in a seamless workflow.</w:t>
      </w:r>
    </w:p>
    <w:p w:rsidR="00000000" w:rsidDel="00000000" w:rsidP="00000000" w:rsidRDefault="00000000" w:rsidRPr="00000000" w14:paraId="0000001B">
      <w:pPr>
        <w:numPr>
          <w:ilvl w:val="0"/>
          <w:numId w:val="19"/>
        </w:numPr>
        <w:spacing w:after="240" w:before="24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Secure API Communication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Ensures secure interaction with AION services through token-based authentication.</w:t>
      </w:r>
    </w:p>
    <w:p w:rsidR="00000000" w:rsidDel="00000000" w:rsidP="00000000" w:rsidRDefault="00000000" w:rsidRPr="00000000" w14:paraId="0000001C">
      <w:pPr>
        <w:numPr>
          <w:ilvl w:val="0"/>
          <w:numId w:val="19"/>
        </w:numPr>
        <w:spacing w:after="240" w:before="24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Structured JSON Request/Response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Sends well-defined input payloads and receives prediction outputs in JSON format.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line="240" w:lineRule="auto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Percentage of re-use:</w:t>
      </w:r>
    </w:p>
    <w:p w:rsidR="00000000" w:rsidDel="00000000" w:rsidP="00000000" w:rsidRDefault="00000000" w:rsidRPr="00000000" w14:paraId="0000001F">
      <w:pPr>
        <w:spacing w:after="12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80%  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numPr>
          <w:ilvl w:val="0"/>
          <w:numId w:val="22"/>
        </w:numPr>
        <w:spacing w:after="60" w:before="600" w:line="288" w:lineRule="auto"/>
        <w:ind w:left="36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GETTING STARTED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Prerequisites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Before you start using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AION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ensure you have the following: </w:t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jc w:val="both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0"/>
        </w:numPr>
        <w:spacing w:line="259" w:lineRule="auto"/>
        <w:ind w:left="1080" w:hanging="360"/>
        <w:jc w:val="both"/>
        <w:rPr>
          <w:rFonts w:ascii="Cambria" w:cs="Cambria" w:eastAsia="Cambria" w:hAnsi="Cambria"/>
          <w:sz w:val="20"/>
          <w:szCs w:val="20"/>
        </w:rPr>
      </w:pPr>
      <w:hyperlink r:id="rId6">
        <w:r w:rsidDel="00000000" w:rsidR="00000000" w:rsidRPr="00000000">
          <w:rPr>
            <w:rFonts w:ascii="Cambria" w:cs="Cambria" w:eastAsia="Cambria" w:hAnsi="Cambria"/>
            <w:color w:val="0000ff"/>
            <w:u w:val="single"/>
            <w:rtl w:val="0"/>
          </w:rPr>
          <w:t xml:space="preserve">HCL Foundry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0"/>
        </w:numPr>
        <w:spacing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VoltMX Iris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0"/>
        </w:numPr>
        <w:spacing w:after="0" w:line="259" w:lineRule="auto"/>
        <w:ind w:left="1080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AION Account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– Register at:</w:t>
      </w:r>
      <w:hyperlink r:id="rId7">
        <w:r w:rsidDel="00000000" w:rsidR="00000000" w:rsidRPr="00000000">
          <w:rPr>
            <w:rFonts w:ascii="Cambria" w:cs="Cambria" w:eastAsia="Cambria" w:hAnsi="Cambria"/>
            <w:sz w:val="20"/>
            <w:szCs w:val="20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Cambria" w:cs="Cambria" w:eastAsia="Cambria" w:hAnsi="Cambria"/>
            <w:color w:val="1155cc"/>
            <w:sz w:val="20"/>
            <w:szCs w:val="20"/>
            <w:u w:val="single"/>
            <w:rtl w:val="0"/>
          </w:rPr>
          <w:t xml:space="preserve">https://aion-uat.hcl-software.com/login</w:t>
        </w:r>
      </w:hyperlink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create an account. Store your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username and password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, as these credentials are required to authenticate with the AION login endpoint and generate an access token for invoking prediction APIs.</w:t>
      </w:r>
    </w:p>
    <w:p w:rsidR="00000000" w:rsidDel="00000000" w:rsidP="00000000" w:rsidRDefault="00000000" w:rsidRPr="00000000" w14:paraId="00000027">
      <w:pPr>
        <w:spacing w:after="0" w:line="259" w:lineRule="auto"/>
        <w:ind w:left="720" w:firstLine="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59" w:lineRule="auto"/>
        <w:ind w:left="720" w:firstLine="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59" w:lineRule="auto"/>
        <w:ind w:left="720" w:firstLine="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line="259" w:lineRule="auto"/>
        <w:ind w:left="72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a successful login, the HCL AION landing page will be displayed.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182880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line="259" w:lineRule="auto"/>
        <w:ind w:left="72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on Create New, then enter the Use Case Name and Description.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463800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line="259" w:lineRule="auto"/>
        <w:ind w:left="72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on the created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Test Sample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Use Case.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413523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5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59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59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spacing w:after="0" w:line="259" w:lineRule="auto"/>
        <w:ind w:left="72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Upload Dataset in.csv format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491163" cy="2628900"/>
            <wp:effectExtent b="0" l="0" r="0" t="0"/>
            <wp:docPr id="2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1163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spacing w:after="0" w:line="259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Problem Type , </w:t>
      </w:r>
      <w:r w:rsidDel="00000000" w:rsidR="00000000" w:rsidRPr="00000000">
        <w:rPr>
          <w:rFonts w:ascii="Cambria" w:cs="Cambria" w:eastAsia="Cambria" w:hAnsi="Cambria"/>
          <w:color w:val="262626"/>
          <w:highlight w:val="white"/>
          <w:rtl w:val="0"/>
        </w:rPr>
        <w:t xml:space="preserve">Target Feature, Model and click save and proceed.</w:t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spacing w:after="0" w:line="259" w:lineRule="auto"/>
        <w:ind w:left="720" w:hanging="360"/>
        <w:jc w:val="both"/>
        <w:rPr>
          <w:rFonts w:ascii="Cambria" w:cs="Cambria" w:eastAsia="Cambria" w:hAnsi="Cambria"/>
          <w:color w:val="262626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color w:val="262626"/>
          <w:highlight w:val="white"/>
        </w:rPr>
        <w:drawing>
          <wp:inline distB="114300" distT="114300" distL="114300" distR="114300">
            <wp:extent cx="5424488" cy="2943225"/>
            <wp:effectExtent b="0" l="0" r="0" t="0"/>
            <wp:docPr id="2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4488" cy="2943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color w:val="262626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59" w:lineRule="auto"/>
        <w:ind w:left="1440" w:hanging="360"/>
        <w:jc w:val="both"/>
        <w:rPr>
          <w:rFonts w:ascii="Cambria" w:cs="Cambria" w:eastAsia="Cambria" w:hAnsi="Cambria"/>
          <w:color w:val="262626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color w:val="262626"/>
          <w:highlight w:val="white"/>
          <w:rtl w:val="0"/>
        </w:rPr>
        <w:t xml:space="preserve">  Click Review configurations to train model.</w:t>
        <w:br w:type="textWrapping"/>
        <w:t xml:space="preserve"> </w:t>
      </w:r>
      <w:r w:rsidDel="00000000" w:rsidR="00000000" w:rsidRPr="00000000">
        <w:rPr>
          <w:rFonts w:ascii="Cambria" w:cs="Cambria" w:eastAsia="Cambria" w:hAnsi="Cambria"/>
          <w:color w:val="262626"/>
          <w:highlight w:val="white"/>
        </w:rPr>
        <w:drawing>
          <wp:inline distB="114300" distT="114300" distL="114300" distR="114300">
            <wp:extent cx="5614988" cy="275272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4988" cy="2752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line="259" w:lineRule="auto"/>
        <w:ind w:left="1440" w:hanging="360"/>
        <w:jc w:val="both"/>
        <w:rPr>
          <w:rFonts w:ascii="Cambria" w:cs="Cambria" w:eastAsia="Cambria" w:hAnsi="Cambria"/>
          <w:color w:val="262626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color w:val="262626"/>
          <w:highlight w:val="white"/>
          <w:rtl w:val="0"/>
        </w:rPr>
        <w:t xml:space="preserve">After Training Completed , click Test Predictions</w:t>
        <w:br w:type="textWrapping"/>
      </w:r>
      <w:r w:rsidDel="00000000" w:rsidR="00000000" w:rsidRPr="00000000">
        <w:rPr>
          <w:rFonts w:ascii="Cambria" w:cs="Cambria" w:eastAsia="Cambria" w:hAnsi="Cambria"/>
          <w:color w:val="262626"/>
          <w:highlight w:val="white"/>
        </w:rPr>
        <w:drawing>
          <wp:inline distB="114300" distT="114300" distL="114300" distR="114300">
            <wp:extent cx="5634038" cy="2809875"/>
            <wp:effectExtent b="0" l="0" r="0" t="0"/>
            <wp:docPr id="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4038" cy="2809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Enter the number of bedrooms, bathrooms, square feet, and year built, then click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Predict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button. The AI-predicted property value will be displayed.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</w:rPr>
        <w:drawing>
          <wp:inline distB="114300" distT="114300" distL="114300" distR="114300">
            <wp:extent cx="5525958" cy="2904670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5958" cy="2904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ind w:left="144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</w:rPr>
        <w:drawing>
          <wp:inline distB="114300" distT="114300" distL="114300" distR="114300">
            <wp:extent cx="5943600" cy="2768600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59" w:lineRule="auto"/>
        <w:ind w:left="1440" w:firstLine="0"/>
        <w:jc w:val="both"/>
        <w:rPr>
          <w:rFonts w:ascii="Cambria" w:cs="Cambria" w:eastAsia="Cambria" w:hAnsi="Cambria"/>
          <w:color w:val="2626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59" w:lineRule="auto"/>
        <w:ind w:left="1440" w:firstLine="0"/>
        <w:jc w:val="both"/>
        <w:rPr>
          <w:rFonts w:ascii="Cambria" w:cs="Cambria" w:eastAsia="Cambria" w:hAnsi="Cambria"/>
          <w:color w:val="2626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59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Devices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8"/>
        </w:numPr>
        <w:spacing w:after="280" w:line="240" w:lineRule="auto"/>
        <w:ind w:left="180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Platforms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8"/>
        </w:numPr>
        <w:spacing w:after="280" w:line="240" w:lineRule="auto"/>
        <w:ind w:left="180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Android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8"/>
        </w:numPr>
        <w:spacing w:after="280" w:line="240" w:lineRule="auto"/>
        <w:ind w:left="180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numPr>
          <w:ilvl w:val="1"/>
          <w:numId w:val="22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Importing the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720" w:firstLine="0"/>
        <w:jc w:val="both"/>
        <w:rPr>
          <w:rFonts w:ascii="Cambria" w:cs="Cambria" w:eastAsia="Cambria" w:hAnsi="Cambria"/>
          <w:highlight w:val="white"/>
        </w:rPr>
      </w:pP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To import the</w:t>
      </w:r>
      <w:r w:rsidDel="00000000" w:rsidR="00000000" w:rsidRPr="00000000">
        <w:rPr>
          <w:rFonts w:ascii="Cambria" w:cs="Cambria" w:eastAsia="Cambria" w:hAnsi="Cambria"/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f141a"/>
          <w:shd w:fill="f9fafc" w:val="clear"/>
          <w:rtl w:val="0"/>
        </w:rPr>
        <w:t xml:space="preserve">AION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App to Volt MX Iris, do the following: </w:t>
      </w:r>
    </w:p>
    <w:p w:rsidR="00000000" w:rsidDel="00000000" w:rsidP="00000000" w:rsidRDefault="00000000" w:rsidRPr="00000000" w14:paraId="00000046">
      <w:pPr>
        <w:spacing w:line="240" w:lineRule="auto"/>
        <w:ind w:left="720" w:firstLine="0"/>
        <w:jc w:val="both"/>
        <w:rPr>
          <w:rFonts w:ascii="Cambria" w:cs="Cambria" w:eastAsia="Cambria" w:hAnsi="Cambri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To import the AION  App, do the following:</w:t>
      </w:r>
    </w:p>
    <w:p w:rsidR="00000000" w:rsidDel="00000000" w:rsidP="00000000" w:rsidRDefault="00000000" w:rsidRPr="00000000" w14:paraId="00000048">
      <w:pPr>
        <w:numPr>
          <w:ilvl w:val="0"/>
          <w:numId w:val="21"/>
        </w:numPr>
        <w:spacing w:before="12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Launch Volt MX Iris.</w:t>
      </w:r>
    </w:p>
    <w:p w:rsidR="00000000" w:rsidDel="00000000" w:rsidP="00000000" w:rsidRDefault="00000000" w:rsidRPr="00000000" w14:paraId="00000049">
      <w:pPr>
        <w:numPr>
          <w:ilvl w:val="0"/>
          <w:numId w:val="21"/>
        </w:numPr>
        <w:spacing w:after="16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 project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then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The Import  dialog box appears. </w:t>
      </w:r>
    </w:p>
    <w:p w:rsidR="00000000" w:rsidDel="00000000" w:rsidP="00000000" w:rsidRDefault="00000000" w:rsidRPr="00000000" w14:paraId="0000004A">
      <w:pPr>
        <w:spacing w:line="240" w:lineRule="auto"/>
        <w:ind w:left="936.0000000000001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4295944" cy="2719388"/>
            <wp:effectExtent b="0" l="0" r="0" t="0"/>
            <wp:docPr id="22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5944" cy="2719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936.0000000000001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1"/>
        </w:numPr>
        <w:spacing w:after="16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From an Archive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to navigate to the location of the project, select the files, and    then click Import. 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2947988" cy="4822065"/>
            <wp:effectExtent b="0" l="0" r="0" t="0"/>
            <wp:docPr id="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7988" cy="4822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80" w:before="28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import the application, you can view the associated Foundry app connected at the  in Data &amp; Services section.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4967288" cy="2266950"/>
            <wp:effectExtent b="0" l="0" r="0" t="0"/>
            <wp:docPr id="3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7288" cy="2266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80" w:before="28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numPr>
          <w:ilvl w:val="1"/>
          <w:numId w:val="22"/>
        </w:numPr>
        <w:spacing w:after="240" w:before="2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Aion Volt MX Foundry Services: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="288" w:lineRule="auto"/>
        <w:ind w:left="720" w:firstLine="0"/>
        <w:jc w:val="both"/>
        <w:rPr>
          <w:rFonts w:ascii="Cambria" w:cs="Cambria" w:eastAsia="Cambria" w:hAnsi="Cambria"/>
          <w:color w:val="2e2e2e"/>
        </w:rPr>
      </w:pPr>
      <w:r w:rsidDel="00000000" w:rsidR="00000000" w:rsidRPr="00000000">
        <w:rPr>
          <w:rFonts w:ascii="Cambria" w:cs="Cambria" w:eastAsia="Cambria" w:hAnsi="Cambria"/>
          <w:color w:val="2e2e2e"/>
          <w:rtl w:val="0"/>
        </w:rPr>
        <w:t xml:space="preserve">When you import the application to your Volt MX Iris project, the HCL Volt MX Foundry services of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Aion </w:t>
      </w:r>
      <w:r w:rsidDel="00000000" w:rsidR="00000000" w:rsidRPr="00000000">
        <w:rPr>
          <w:rFonts w:ascii="Cambria" w:cs="Cambria" w:eastAsia="Cambria" w:hAnsi="Cambria"/>
          <w:color w:val="2e2e2e"/>
          <w:rtl w:val="0"/>
        </w:rPr>
        <w:t xml:space="preserve">are added to the HCL Volt MX Foundry app, which is associated with the Volt MX Iris project. While importing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Real estate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rtl w:val="0"/>
        </w:rPr>
        <w:t xml:space="preserve">App</w:t>
      </w:r>
      <w:r w:rsidDel="00000000" w:rsidR="00000000" w:rsidRPr="00000000">
        <w:rPr>
          <w:rFonts w:ascii="Cambria" w:cs="Cambria" w:eastAsia="Cambria" w:hAnsi="Cambria"/>
          <w:color w:val="2e2e2e"/>
          <w:rtl w:val="0"/>
        </w:rPr>
        <w:t xml:space="preserve"> to your Volt MX Iris project, if there is no HCL Volt MX Foundry app associated with the existing Volt MX Iris project, a new HCL Volt MX Foundry app is automatically added to your HCL Volt MX Foundry environment and is associated with your Volt MX Iris.</w:t>
      </w:r>
    </w:p>
    <w:p w:rsidR="00000000" w:rsidDel="00000000" w:rsidP="00000000" w:rsidRDefault="00000000" w:rsidRPr="00000000" w14:paraId="00000051">
      <w:pPr>
        <w:spacing w:after="120" w:before="120" w:line="288" w:lineRule="auto"/>
        <w:ind w:left="720" w:firstLine="0"/>
        <w:jc w:val="both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 set up the Foundry app, follow these steps</w:t>
      </w:r>
      <w:r w:rsidDel="00000000" w:rsidR="00000000" w:rsidRPr="00000000">
        <w:rPr>
          <w:rFonts w:ascii="Cambria" w:cs="Cambria" w:eastAsia="Cambria" w:hAnsi="Cambria"/>
          <w:color w:val="707070"/>
          <w:rtl w:val="0"/>
        </w:rPr>
        <w:t xml:space="preserve">:</w:t>
      </w:r>
    </w:p>
    <w:p w:rsidR="00000000" w:rsidDel="00000000" w:rsidP="00000000" w:rsidRDefault="00000000" w:rsidRPr="00000000" w14:paraId="00000052">
      <w:pPr>
        <w:pStyle w:val="Heading4"/>
        <w:keepNext w:val="0"/>
        <w:keepLines w:val="0"/>
        <w:spacing w:after="0" w:before="40" w:line="288" w:lineRule="auto"/>
        <w:ind w:left="720" w:firstLine="0"/>
        <w:jc w:val="both"/>
        <w:rPr>
          <w:rFonts w:ascii="Cambria" w:cs="Cambria" w:eastAsia="Cambria" w:hAnsi="Cambria"/>
        </w:rPr>
      </w:pPr>
      <w:bookmarkStart w:colFirst="0" w:colLast="0" w:name="_kkyef17aknge" w:id="0"/>
      <w:bookmarkEnd w:id="0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1. Click the HCL Volt MX Foundry app associated with your Volt MX Iris project from the</w:t>
        <w:tab/>
        <w:t xml:space="preserve">Project Explorer. Click on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DATA &amp;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4"/>
        <w:keepNext w:val="0"/>
        <w:keepLines w:val="0"/>
        <w:spacing w:after="0" w:before="40" w:line="288" w:lineRule="auto"/>
        <w:ind w:left="720" w:firstLine="1080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80" w:before="280" w:line="240" w:lineRule="auto"/>
        <w:ind w:left="720" w:firstLine="0"/>
        <w:jc w:val="both"/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4967288" cy="2266950"/>
            <wp:effectExtent b="0" l="0" r="0" t="0"/>
            <wp:docPr id="10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7288" cy="2266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2. Under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Configure Services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tab,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and can see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Aionrealestate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Integration service. Click on that Integration service to add the keys.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before="40" w:line="360" w:lineRule="auto"/>
        <w:ind w:left="720" w:firstLine="0"/>
        <w:jc w:val="both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6"/>
          <w:szCs w:val="26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  <w:drawing>
          <wp:inline distB="114300" distT="114300" distL="114300" distR="114300">
            <wp:extent cx="5943600" cy="24892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before="40" w:line="360" w:lineRule="auto"/>
        <w:ind w:left="720" w:firstLine="0"/>
        <w:jc w:val="both"/>
        <w:rPr>
          <w:rFonts w:ascii="Cambria" w:cs="Cambria" w:eastAsia="Cambria" w:hAnsi="Cambria"/>
          <w:color w:val="2e2e2e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2e2e2e"/>
          <w:sz w:val="22"/>
          <w:szCs w:val="22"/>
          <w:rtl w:val="0"/>
        </w:rPr>
        <w:t xml:space="preserve">3. Click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2"/>
          <w:szCs w:val="22"/>
          <w:rtl w:val="0"/>
        </w:rPr>
        <w:t xml:space="preserve">Operations List</w:t>
      </w:r>
      <w:r w:rsidDel="00000000" w:rsidR="00000000" w:rsidRPr="00000000">
        <w:rPr>
          <w:rFonts w:ascii="Cambria" w:cs="Cambria" w:eastAsia="Cambria" w:hAnsi="Cambria"/>
          <w:color w:val="2e2e2e"/>
          <w:sz w:val="22"/>
          <w:szCs w:val="22"/>
          <w:rtl w:val="0"/>
        </w:rPr>
        <w:t xml:space="preserve"> tab.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2"/>
          <w:szCs w:val="22"/>
          <w:rtl w:val="0"/>
        </w:rPr>
        <w:t xml:space="preserve">Operations List</w:t>
      </w:r>
      <w:r w:rsidDel="00000000" w:rsidR="00000000" w:rsidRPr="00000000">
        <w:rPr>
          <w:rFonts w:ascii="Cambria" w:cs="Cambria" w:eastAsia="Cambria" w:hAnsi="Cambria"/>
          <w:color w:val="2e2e2e"/>
          <w:sz w:val="22"/>
          <w:szCs w:val="22"/>
          <w:rtl w:val="0"/>
        </w:rPr>
        <w:t xml:space="preserve"> tab opens with the list of operations available.</w:t>
      </w:r>
    </w:p>
    <w:p w:rsidR="00000000" w:rsidDel="00000000" w:rsidP="00000000" w:rsidRDefault="00000000" w:rsidRPr="00000000" w14:paraId="0000005B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070100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before="40" w:line="360" w:lineRule="auto"/>
        <w:ind w:left="720" w:firstLine="0"/>
        <w:jc w:val="both"/>
        <w:rPr>
          <w:rFonts w:ascii="Cambria" w:cs="Cambria" w:eastAsia="Cambria" w:hAnsi="Cambria"/>
          <w:color w:val="2e2e2e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2e2e2e"/>
          <w:sz w:val="22"/>
          <w:szCs w:val="22"/>
          <w:rtl w:val="0"/>
        </w:rPr>
        <w:t xml:space="preserve">4.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2"/>
          <w:szCs w:val="22"/>
          <w:rtl w:val="0"/>
        </w:rPr>
        <w:t xml:space="preserve">Executing an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line="288" w:lineRule="auto"/>
        <w:ind w:left="720" w:firstLine="0"/>
        <w:rPr>
          <w:rFonts w:ascii="Cambria" w:cs="Cambria" w:eastAsia="Cambria" w:hAnsi="Cambria"/>
          <w:color w:val="30353f"/>
        </w:rPr>
      </w:pP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30353f"/>
          <w:rtl w:val="0"/>
        </w:rPr>
        <w:t xml:space="preserve"> Login</w:t>
      </w:r>
      <w:r w:rsidDel="00000000" w:rsidR="00000000" w:rsidRPr="00000000">
        <w:rPr>
          <w:rFonts w:ascii="Cambria" w:cs="Cambria" w:eastAsia="Cambria" w:hAnsi="Cambria"/>
          <w:color w:val="30353f"/>
          <w:rtl w:val="0"/>
        </w:rPr>
        <w:br w:type="textWrapping"/>
        <w:t xml:space="preserve">Under the Configured Operations section, click the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30353f"/>
          <w:rtl w:val="0"/>
        </w:rPr>
        <w:t xml:space="preserve">Login</w:t>
      </w: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 operation. The Request Input sub-tab opened by default. Provide Body and Headers.</w:t>
      </w:r>
    </w:p>
    <w:p w:rsidR="00000000" w:rsidDel="00000000" w:rsidP="00000000" w:rsidRDefault="00000000" w:rsidRPr="00000000" w14:paraId="0000005E">
      <w:pPr>
        <w:numPr>
          <w:ilvl w:val="0"/>
          <w:numId w:val="16"/>
        </w:numPr>
        <w:spacing w:after="160" w:line="259" w:lineRule="auto"/>
        <w:ind w:left="1440" w:hanging="360"/>
        <w:rPr>
          <w:rFonts w:ascii="Cambria" w:cs="Cambria" w:eastAsia="Cambria" w:hAnsi="Cambria"/>
          <w:color w:val="30353f"/>
        </w:rPr>
      </w:pP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Provide the required parameters, such as username and password.</w:t>
        <w:br w:type="textWrapping"/>
      </w:r>
    </w:p>
    <w:p w:rsidR="00000000" w:rsidDel="00000000" w:rsidP="00000000" w:rsidRDefault="00000000" w:rsidRPr="00000000" w14:paraId="0000005F">
      <w:pPr>
        <w:spacing w:after="280" w:before="280" w:line="36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0353f"/>
          <w:sz w:val="20"/>
          <w:szCs w:val="20"/>
        </w:rPr>
        <w:drawing>
          <wp:inline distB="114300" distT="114300" distL="114300" distR="114300">
            <wp:extent cx="5943600" cy="1993900"/>
            <wp:effectExtent b="0" l="0" r="0" t="0"/>
            <wp:docPr id="3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80" w:before="280" w:line="360" w:lineRule="auto"/>
        <w:ind w:left="720" w:firstLine="0"/>
        <w:jc w:val="both"/>
        <w:rPr>
          <w:rFonts w:ascii="Cambria" w:cs="Cambria" w:eastAsia="Cambria" w:hAnsi="Cambria"/>
          <w:color w:val="30353f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30353f"/>
          <w:sz w:val="20"/>
          <w:szCs w:val="20"/>
        </w:rPr>
        <w:drawing>
          <wp:inline distB="114300" distT="114300" distL="114300" distR="114300">
            <wp:extent cx="5943600" cy="2070100"/>
            <wp:effectExtent b="0" l="0" r="0" t="0"/>
            <wp:docPr id="34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80" w:before="280" w:line="360" w:lineRule="auto"/>
        <w:ind w:left="720" w:firstLine="0"/>
        <w:jc w:val="both"/>
        <w:rPr>
          <w:rFonts w:ascii="Cambria" w:cs="Cambria" w:eastAsia="Cambria" w:hAnsi="Cambria"/>
          <w:color w:val="30353f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30353f"/>
          <w:sz w:val="20"/>
          <w:szCs w:val="20"/>
        </w:rPr>
        <w:drawing>
          <wp:inline distB="114300" distT="114300" distL="114300" distR="114300">
            <wp:extent cx="5943600" cy="2997200"/>
            <wp:effectExtent b="0" l="0" r="0" t="0"/>
            <wp:docPr id="2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4"/>
        </w:numPr>
        <w:spacing w:after="280" w:before="280" w:line="360" w:lineRule="auto"/>
        <w:ind w:left="1440" w:hanging="360"/>
        <w:jc w:val="both"/>
        <w:rPr>
          <w:rFonts w:ascii="Cambria" w:cs="Cambria" w:eastAsia="Cambria" w:hAnsi="Cambria"/>
          <w:color w:val="30353f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color w:val="30353f"/>
          <w:sz w:val="20"/>
          <w:szCs w:val="20"/>
          <w:rtl w:val="0"/>
        </w:rPr>
        <w:t xml:space="preserve">Click Save Operation.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color w:val="30353f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B)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prediction</w:t>
        <w:br w:type="textWrapping"/>
        <w:t xml:space="preserve">     </w:t>
        <w:br w:type="textWrapping"/>
        <w:t xml:space="preserve">      </w:t>
      </w: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Under the Configured Operations section, click the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30353f"/>
          <w:rtl w:val="0"/>
        </w:rPr>
        <w:t xml:space="preserve">Login</w:t>
      </w: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 operation. The Request   Input sub-tab opened by default. Provide Body and Headers.</w:t>
      </w:r>
    </w:p>
    <w:p w:rsidR="00000000" w:rsidDel="00000000" w:rsidP="00000000" w:rsidRDefault="00000000" w:rsidRPr="00000000" w14:paraId="00000064">
      <w:pPr>
        <w:numPr>
          <w:ilvl w:val="0"/>
          <w:numId w:val="13"/>
        </w:numPr>
        <w:spacing w:after="160" w:line="259" w:lineRule="auto"/>
        <w:ind w:left="1440" w:hanging="360"/>
        <w:rPr>
          <w:rFonts w:ascii="Cambria" w:cs="Cambria" w:eastAsia="Cambria" w:hAnsi="Cambria"/>
          <w:color w:val="30353f"/>
        </w:rPr>
      </w:pP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Provide the required parameters, such as input_data ,usecaseVersion and usecaseId.</w:t>
      </w:r>
    </w:p>
    <w:p w:rsidR="00000000" w:rsidDel="00000000" w:rsidP="00000000" w:rsidRDefault="00000000" w:rsidRPr="00000000" w14:paraId="00000065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114300" distT="114300" distL="114300" distR="114300">
            <wp:extent cx="5876925" cy="2427276"/>
            <wp:effectExtent b="0" l="0" r="0" t="0"/>
            <wp:docPr id="1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4272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spacing w:after="280" w:line="240" w:lineRule="auto"/>
        <w:ind w:left="144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Headers</w:t>
      </w:r>
    </w:p>
    <w:p w:rsidR="00000000" w:rsidDel="00000000" w:rsidP="00000000" w:rsidRDefault="00000000" w:rsidRPr="00000000" w14:paraId="00000067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114300" distT="114300" distL="114300" distR="114300">
            <wp:extent cx="5943600" cy="1905000"/>
            <wp:effectExtent b="0" l="0" r="0" t="0"/>
            <wp:docPr id="3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line="240" w:lineRule="auto"/>
        <w:ind w:left="81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80" w:line="240" w:lineRule="auto"/>
        <w:ind w:left="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80" w:line="240" w:lineRule="auto"/>
        <w:ind w:left="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spacing w:after="280" w:line="240" w:lineRule="auto"/>
        <w:ind w:left="144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Response Output</w:t>
      </w:r>
    </w:p>
    <w:p w:rsidR="00000000" w:rsidDel="00000000" w:rsidP="00000000" w:rsidRDefault="00000000" w:rsidRPr="00000000" w14:paraId="0000006F">
      <w:pPr>
        <w:spacing w:after="280" w:line="240" w:lineRule="auto"/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4929188" cy="1905000"/>
            <wp:effectExtent b="0" l="0" r="0" t="0"/>
            <wp:docPr id="25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C) Select </w:t>
      </w:r>
      <w:r w:rsidDel="00000000" w:rsidR="00000000" w:rsidRPr="00000000">
        <w:rPr>
          <w:rFonts w:ascii="Cambria" w:cs="Cambria" w:eastAsia="Cambria" w:hAnsi="Cambria"/>
          <w:b w:val="1"/>
          <w:bCs w:val="1"/>
          <w:shd w:fill="fefefe" w:val="clear"/>
          <w:rtl w:val="0"/>
        </w:rPr>
        <w:t xml:space="preserve">Orchestration service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30353f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color w:val="30353f"/>
          <w:rtl w:val="0"/>
        </w:rPr>
        <w:br w:type="textWrapping"/>
        <w:t xml:space="preserve">      </w:t>
      </w:r>
      <w:r w:rsidDel="00000000" w:rsidR="00000000" w:rsidRPr="00000000">
        <w:rPr>
          <w:rFonts w:ascii="Cambria" w:cs="Cambria" w:eastAsia="Cambria" w:hAnsi="Cambria"/>
          <w:color w:val="30353f"/>
        </w:rPr>
        <w:drawing>
          <wp:inline distB="114300" distT="114300" distL="114300" distR="114300">
            <wp:extent cx="5943600" cy="1790700"/>
            <wp:effectExtent b="0" l="0" r="0" t="0"/>
            <wp:docPr id="16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7"/>
        </w:numPr>
        <w:spacing w:before="120" w:line="259" w:lineRule="auto"/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Aionorchestration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hd w:fill="fefefe" w:val="clear"/>
          <w:rtl w:val="0"/>
        </w:rPr>
        <w:t xml:space="preserve">Orchestration service.</w:t>
      </w:r>
    </w:p>
    <w:p w:rsidR="00000000" w:rsidDel="00000000" w:rsidP="00000000" w:rsidRDefault="00000000" w:rsidRPr="00000000" w14:paraId="00000072">
      <w:pPr>
        <w:spacing w:before="120" w:line="259" w:lineRule="auto"/>
        <w:ind w:left="0" w:firstLine="0"/>
        <w:rPr>
          <w:rFonts w:ascii="Cambria" w:cs="Cambria" w:eastAsia="Cambria" w:hAnsi="Cambria"/>
          <w:shd w:fill="fefefe" w:val="clear"/>
        </w:rPr>
      </w:pPr>
      <w:r w:rsidDel="00000000" w:rsidR="00000000" w:rsidRPr="00000000">
        <w:rPr>
          <w:rFonts w:ascii="Cambria" w:cs="Cambria" w:eastAsia="Cambria" w:hAnsi="Cambria"/>
          <w:shd w:fill="fefefe" w:val="clear"/>
          <w:rtl w:val="0"/>
        </w:rPr>
        <w:t xml:space="preserve">               </w:t>
      </w:r>
    </w:p>
    <w:p w:rsidR="00000000" w:rsidDel="00000000" w:rsidP="00000000" w:rsidRDefault="00000000" w:rsidRPr="00000000" w14:paraId="00000073">
      <w:pPr>
        <w:spacing w:after="160" w:line="259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324100"/>
            <wp:effectExtent b="0" l="0" r="0" t="0"/>
            <wp:docPr id="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before="40" w:line="288" w:lineRule="auto"/>
        <w:ind w:left="2430" w:hanging="360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dd6ho1srx7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129213" cy="1828800"/>
            <wp:effectExtent b="0" l="0" r="0" t="0"/>
            <wp:docPr id="1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9213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5"/>
        </w:numPr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Aionorchestration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operation</w:t>
      </w:r>
    </w:p>
    <w:p w:rsidR="00000000" w:rsidDel="00000000" w:rsidP="00000000" w:rsidRDefault="00000000" w:rsidRPr="00000000" w14:paraId="00000077">
      <w:pPr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720" w:firstLine="720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 </w:t>
      </w:r>
      <w:r w:rsidDel="00000000" w:rsidR="00000000" w:rsidRPr="00000000">
        <w:rPr/>
        <w:drawing>
          <wp:inline distB="114300" distT="114300" distL="114300" distR="114300">
            <wp:extent cx="5662613" cy="2238375"/>
            <wp:effectExtent b="0" l="0" r="0" t="0"/>
            <wp:docPr id="31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2613" cy="2238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save and fetch response</w:t>
      </w:r>
    </w:p>
    <w:p w:rsidR="00000000" w:rsidDel="00000000" w:rsidP="00000000" w:rsidRDefault="00000000" w:rsidRPr="00000000" w14:paraId="0000007A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349500"/>
            <wp:effectExtent b="0" l="0" r="0" t="0"/>
            <wp:docPr id="2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before="40" w:line="360" w:lineRule="auto"/>
        <w:ind w:firstLine="720"/>
        <w:jc w:val="both"/>
        <w:rPr>
          <w:rFonts w:ascii="Cambria" w:cs="Cambria" w:eastAsia="Cambria" w:hAnsi="Cambria"/>
          <w:b w:val="1"/>
          <w:bCs w:val="1"/>
          <w:color w:val="2e2e2e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2"/>
          <w:szCs w:val="22"/>
          <w:rtl w:val="0"/>
        </w:rPr>
        <w:t xml:space="preserve">5.Publishing your application</w:t>
      </w:r>
    </w:p>
    <w:p w:rsidR="00000000" w:rsidDel="00000000" w:rsidP="00000000" w:rsidRDefault="00000000" w:rsidRPr="00000000" w14:paraId="00000080">
      <w:pPr>
        <w:ind w:left="720" w:firstLine="0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set the Operation Security Level, you must publish the HCL Volt MX Foundry app. To publish the HCL Volt MX Foundry, follow these steps: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59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59" w:lineRule="auto"/>
        <w:ind w:left="720" w:firstLine="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 Volt MX Iris,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DATA &amp; SERVICES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then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Publish Project Services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Publish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your foundry app.</w:t>
      </w:r>
      <w:r w:rsidDel="00000000" w:rsidR="00000000" w:rsidRPr="00000000">
        <w:rPr>
          <w:rFonts w:ascii="Cambria" w:cs="Cambria" w:eastAsia="Cambria" w:hAnsi="Cambria"/>
          <w:color w:val="707070"/>
          <w:rtl w:val="0"/>
        </w:rPr>
        <w:t xml:space="preserve"> </w:t>
      </w:r>
    </w:p>
    <w:p w:rsidR="00000000" w:rsidDel="00000000" w:rsidP="00000000" w:rsidRDefault="00000000" w:rsidRPr="00000000" w14:paraId="00000083">
      <w:pPr>
        <w:spacing w:line="259" w:lineRule="auto"/>
        <w:ind w:left="1170" w:firstLine="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59" w:lineRule="auto"/>
        <w:ind w:left="117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361329" cy="3323622"/>
            <wp:effectExtent b="0" l="0" r="0" t="0"/>
            <wp:docPr id="21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1329" cy="33236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59" w:lineRule="auto"/>
        <w:ind w:left="1170" w:firstLine="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59" w:lineRule="auto"/>
        <w:ind w:left="117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the environment to which you want to publish your app, and then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Publish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color w:val="70707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After the app is published to your environment, the following window appears confirming the publish.</w:t>
        <w:br w:type="textWrapping"/>
      </w:r>
    </w:p>
    <w:p w:rsidR="00000000" w:rsidDel="00000000" w:rsidP="00000000" w:rsidRDefault="00000000" w:rsidRPr="00000000" w14:paraId="00000087">
      <w:pPr>
        <w:spacing w:line="259" w:lineRule="auto"/>
        <w:ind w:left="117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36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0353f"/>
        </w:rPr>
        <w:drawing>
          <wp:inline distB="114300" distT="114300" distL="114300" distR="114300">
            <wp:extent cx="5943600" cy="2667000"/>
            <wp:effectExtent b="0" l="0" r="0" t="0"/>
            <wp:docPr id="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="288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numPr>
          <w:ilvl w:val="1"/>
          <w:numId w:val="22"/>
        </w:numPr>
        <w:spacing w:after="240" w:before="2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Building the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menu bar, go to Build and then select Build Native Local.</w:t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before="40" w:line="288" w:lineRule="auto"/>
        <w:rPr>
          <w:rFonts w:ascii="Cambria" w:cs="Cambria" w:eastAsia="Cambria" w:hAnsi="Cambria"/>
        </w:rPr>
      </w:pPr>
      <w:bookmarkStart w:colFirst="0" w:colLast="0" w:name="_gem8idxcgjw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</w:rPr>
      </w:pPr>
      <w:bookmarkStart w:colFirst="0" w:colLast="0" w:name="_fdo4ay3zr0jz" w:id="3"/>
      <w:bookmarkEnd w:id="3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</w:rPr>
        <w:drawing>
          <wp:inline distB="0" distT="0" distL="0" distR="0">
            <wp:extent cx="5274945" cy="2957830"/>
            <wp:effectExtent b="0" l="0" r="0" t="0"/>
            <wp:docPr descr="A screenshot of a computer&#10;&#10;AI-generated content may be incorrect." id="36" name="image34.png"/>
            <a:graphic>
              <a:graphicData uri="http://schemas.openxmlformats.org/drawingml/2006/picture">
                <pic:pic>
                  <pic:nvPicPr>
                    <pic:cNvPr descr="A screenshot of a computer&#10;&#10;AI-generated content may be incorrect." id="0" name="image3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7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For Mobile, select Android and iOS. Click Build.</w:t>
      </w:r>
    </w:p>
    <w:p w:rsidR="00000000" w:rsidDel="00000000" w:rsidP="00000000" w:rsidRDefault="00000000" w:rsidRPr="00000000" w14:paraId="00000090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961310" cy="4024313"/>
            <wp:effectExtent b="0" l="0" r="0" t="0"/>
            <wp:docPr id="14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1310" cy="4024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929063" cy="2790825"/>
            <wp:effectExtent b="0" l="0" r="0" t="0"/>
            <wp:docPr id="3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9063" cy="2790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the build is successful, run the app on your mobile device.</w:t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before="40" w:line="288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92sonqopf6u9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H. Application Flow</w:t>
      </w:r>
    </w:p>
    <w:p w:rsidR="00000000" w:rsidDel="00000000" w:rsidP="00000000" w:rsidRDefault="00000000" w:rsidRPr="00000000" w14:paraId="00000098">
      <w:pPr>
        <w:spacing w:after="12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The landing page for the app is as follows:</w:t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before="40" w:line="288" w:lineRule="auto"/>
        <w:ind w:left="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ab/>
        <w:t xml:space="preserve">   </w:t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2619375" cy="4795659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7956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Click on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Skip to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navigate to the next form.</w:t>
      </w:r>
    </w:p>
    <w:p w:rsidR="00000000" w:rsidDel="00000000" w:rsidP="00000000" w:rsidRDefault="00000000" w:rsidRPr="00000000" w14:paraId="0000009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</w:t>
      </w:r>
    </w:p>
    <w:p w:rsidR="00000000" w:rsidDel="00000000" w:rsidP="00000000" w:rsidRDefault="00000000" w:rsidRPr="00000000" w14:paraId="0000009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</w:t>
        <w:tab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062288" cy="5895975"/>
            <wp:effectExtent b="0" l="0" r="0" t="0"/>
            <wp:docPr id="2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5895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4"/>
        </w:numPr>
        <w:ind w:left="1440" w:hanging="36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on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Skip to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navigate to the next form.</w:t>
      </w:r>
    </w:p>
    <w:p w:rsidR="00000000" w:rsidDel="00000000" w:rsidP="00000000" w:rsidRDefault="00000000" w:rsidRPr="00000000" w14:paraId="0000009F">
      <w:pPr>
        <w:spacing w:after="240" w:before="240" w:lineRule="auto"/>
        <w:ind w:left="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2909888" cy="6291433"/>
            <wp:effectExtent b="0" l="0" r="0" t="0"/>
            <wp:docPr id="30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62914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6"/>
        </w:numPr>
        <w:spacing w:after="240" w:before="240" w:lineRule="auto"/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Plus sign(+) to navigate to next form.</w:t>
      </w:r>
    </w:p>
    <w:p w:rsidR="00000000" w:rsidDel="00000000" w:rsidP="00000000" w:rsidRDefault="00000000" w:rsidRPr="00000000" w14:paraId="000000A1">
      <w:pPr>
        <w:spacing w:after="240" w:before="240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40" w:before="240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0" w:before="240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40" w:before="240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40" w:before="240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2486025" cy="6196013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6196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        </w:t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052763" cy="6286500"/>
            <wp:effectExtent b="0" l="0" r="0" t="0"/>
            <wp:docPr id="2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2763" cy="628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25"/>
        </w:numPr>
        <w:spacing w:after="240" w:before="240" w:lineRule="auto"/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Click next to navigate to next form</w:t>
      </w:r>
    </w:p>
    <w:p w:rsidR="00000000" w:rsidDel="00000000" w:rsidP="00000000" w:rsidRDefault="00000000" w:rsidRPr="00000000" w14:paraId="000000A8">
      <w:pPr>
        <w:spacing w:after="240" w:before="240" w:lineRule="auto"/>
        <w:ind w:firstLine="72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</w:r>
    </w:p>
    <w:p w:rsidR="00000000" w:rsidDel="00000000" w:rsidP="00000000" w:rsidRDefault="00000000" w:rsidRPr="00000000" w14:paraId="000000AA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                       </w:t>
      </w: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114300" distT="114300" distL="114300" distR="114300">
            <wp:extent cx="3800475" cy="5576888"/>
            <wp:effectExtent b="0" l="0" r="0" t="0"/>
            <wp:docPr id="2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576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1"/>
        </w:numPr>
        <w:spacing w:after="24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Enter the number of bedrooms, bathrooms, square feet, and year built, then click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Get Fair Price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button. The AI-predicted property value will be displayed.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line="288" w:lineRule="auto"/>
        <w:ind w:left="0" w:firstLine="0"/>
        <w:rPr>
          <w:rFonts w:ascii="Cambria" w:cs="Cambria" w:eastAsia="Cambria" w:hAnsi="Cambria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1"/>
        <w:keepNext w:val="0"/>
        <w:keepLines w:val="0"/>
        <w:spacing w:after="60" w:before="600" w:line="288" w:lineRule="auto"/>
        <w:jc w:val="both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4.REFERENCES</w:t>
      </w:r>
    </w:p>
    <w:p w:rsidR="00000000" w:rsidDel="00000000" w:rsidP="00000000" w:rsidRDefault="00000000" w:rsidRPr="00000000" w14:paraId="000000B3">
      <w:pPr>
        <w:pStyle w:val="Heading2"/>
        <w:keepNext w:val="0"/>
        <w:keepLines w:val="0"/>
        <w:numPr>
          <w:ilvl w:val="1"/>
          <w:numId w:val="17"/>
        </w:numPr>
        <w:spacing w:before="40" w:line="288" w:lineRule="auto"/>
        <w:ind w:left="720" w:hanging="36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Endpoint Documentation</w:t>
        <w:br w:type="textWrapping"/>
      </w:r>
      <w:hyperlink r:id="rId45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Aion Portal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 </w:t>
        <w:br w:type="textWrapping"/>
      </w:r>
      <w:hyperlink r:id="rId46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Aion Document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1"/>
        <w:keepNext w:val="0"/>
        <w:keepLines w:val="0"/>
        <w:spacing w:after="60" w:before="600" w:line="288" w:lineRule="auto"/>
        <w:jc w:val="both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bookmarkStart w:colFirst="0" w:colLast="0" w:name="_14pbehhdursj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5.REVISION HISTORY</w:t>
      </w:r>
    </w:p>
    <w:p w:rsidR="00000000" w:rsidDel="00000000" w:rsidP="00000000" w:rsidRDefault="00000000" w:rsidRPr="00000000" w14:paraId="000000B5">
      <w:pPr>
        <w:spacing w:after="120" w:line="288" w:lineRule="auto"/>
        <w:ind w:firstLine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 version 1.0.0:</w:t>
      </w:r>
    </w:p>
    <w:p w:rsidR="00000000" w:rsidDel="00000000" w:rsidP="00000000" w:rsidRDefault="00000000" w:rsidRPr="00000000" w14:paraId="000000B6">
      <w:pPr>
        <w:numPr>
          <w:ilvl w:val="1"/>
          <w:numId w:val="15"/>
        </w:numPr>
        <w:spacing w:after="120" w:line="288" w:lineRule="auto"/>
        <w:ind w:left="720" w:hanging="36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Known Issues</w:t>
      </w:r>
    </w:p>
    <w:p w:rsidR="00000000" w:rsidDel="00000000" w:rsidP="00000000" w:rsidRDefault="00000000" w:rsidRPr="00000000" w14:paraId="000000B7">
      <w:pPr>
        <w:spacing w:after="120" w:line="288" w:lineRule="auto"/>
        <w:ind w:firstLine="72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None</w:t>
      </w:r>
    </w:p>
    <w:p w:rsidR="00000000" w:rsidDel="00000000" w:rsidP="00000000" w:rsidRDefault="00000000" w:rsidRPr="00000000" w14:paraId="000000B8">
      <w:pPr>
        <w:numPr>
          <w:ilvl w:val="1"/>
          <w:numId w:val="15"/>
        </w:numPr>
        <w:spacing w:after="120" w:line="288" w:lineRule="auto"/>
        <w:ind w:left="720" w:hanging="36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Limitations</w:t>
      </w:r>
    </w:p>
    <w:p w:rsidR="00000000" w:rsidDel="00000000" w:rsidP="00000000" w:rsidRDefault="00000000" w:rsidRPr="00000000" w14:paraId="000000B9">
      <w:pPr>
        <w:spacing w:after="120" w:line="288" w:lineRule="auto"/>
        <w:ind w:left="720" w:firstLine="0"/>
        <w:jc w:val="both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None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21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430" w:hanging="360"/>
      </w:pPr>
      <w:rPr>
        <w:sz w:val="22"/>
        <w:szCs w:val="22"/>
        <w:u w:val="none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21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9.png"/><Relationship Id="rId20" Type="http://schemas.openxmlformats.org/officeDocument/2006/relationships/image" Target="media/image29.png"/><Relationship Id="rId42" Type="http://schemas.openxmlformats.org/officeDocument/2006/relationships/image" Target="media/image3.png"/><Relationship Id="rId41" Type="http://schemas.openxmlformats.org/officeDocument/2006/relationships/image" Target="media/image26.png"/><Relationship Id="rId22" Type="http://schemas.openxmlformats.org/officeDocument/2006/relationships/image" Target="media/image13.png"/><Relationship Id="rId44" Type="http://schemas.openxmlformats.org/officeDocument/2006/relationships/image" Target="media/image17.png"/><Relationship Id="rId21" Type="http://schemas.openxmlformats.org/officeDocument/2006/relationships/image" Target="media/image4.png"/><Relationship Id="rId43" Type="http://schemas.openxmlformats.org/officeDocument/2006/relationships/image" Target="media/image30.png"/><Relationship Id="rId24" Type="http://schemas.openxmlformats.org/officeDocument/2006/relationships/image" Target="media/image31.png"/><Relationship Id="rId46" Type="http://schemas.openxmlformats.org/officeDocument/2006/relationships/hyperlink" Target="https://aion-uat.hcl-software.com/User%20Guide%20for%20AION%20V2.pdf" TargetMode="External"/><Relationship Id="rId23" Type="http://schemas.openxmlformats.org/officeDocument/2006/relationships/image" Target="media/image27.png"/><Relationship Id="rId45" Type="http://schemas.openxmlformats.org/officeDocument/2006/relationships/hyperlink" Target="https://aion-uat.hcl-software.com/logi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26" Type="http://schemas.openxmlformats.org/officeDocument/2006/relationships/image" Target="media/image8.png"/><Relationship Id="rId25" Type="http://schemas.openxmlformats.org/officeDocument/2006/relationships/image" Target="media/image21.png"/><Relationship Id="rId28" Type="http://schemas.openxmlformats.org/officeDocument/2006/relationships/image" Target="media/image32.png"/><Relationship Id="rId27" Type="http://schemas.openxmlformats.org/officeDocument/2006/relationships/image" Target="media/image22.png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29" Type="http://schemas.openxmlformats.org/officeDocument/2006/relationships/image" Target="media/image25.png"/><Relationship Id="rId7" Type="http://schemas.openxmlformats.org/officeDocument/2006/relationships/hyperlink" Target="https://aion-uat.hcl-software.com/login" TargetMode="External"/><Relationship Id="rId8" Type="http://schemas.openxmlformats.org/officeDocument/2006/relationships/hyperlink" Target="https://aion-uat.hcl-software.com/login" TargetMode="External"/><Relationship Id="rId31" Type="http://schemas.openxmlformats.org/officeDocument/2006/relationships/image" Target="media/image10.png"/><Relationship Id="rId30" Type="http://schemas.openxmlformats.org/officeDocument/2006/relationships/image" Target="media/image7.png"/><Relationship Id="rId11" Type="http://schemas.openxmlformats.org/officeDocument/2006/relationships/image" Target="media/image6.png"/><Relationship Id="rId33" Type="http://schemas.openxmlformats.org/officeDocument/2006/relationships/image" Target="media/image20.png"/><Relationship Id="rId10" Type="http://schemas.openxmlformats.org/officeDocument/2006/relationships/image" Target="media/image11.png"/><Relationship Id="rId32" Type="http://schemas.openxmlformats.org/officeDocument/2006/relationships/image" Target="media/image18.png"/><Relationship Id="rId13" Type="http://schemas.openxmlformats.org/officeDocument/2006/relationships/image" Target="media/image15.png"/><Relationship Id="rId35" Type="http://schemas.openxmlformats.org/officeDocument/2006/relationships/image" Target="media/image16.png"/><Relationship Id="rId12" Type="http://schemas.openxmlformats.org/officeDocument/2006/relationships/image" Target="media/image28.png"/><Relationship Id="rId34" Type="http://schemas.openxmlformats.org/officeDocument/2006/relationships/image" Target="media/image33.png"/><Relationship Id="rId15" Type="http://schemas.openxmlformats.org/officeDocument/2006/relationships/image" Target="media/image14.png"/><Relationship Id="rId37" Type="http://schemas.openxmlformats.org/officeDocument/2006/relationships/image" Target="media/image35.png"/><Relationship Id="rId14" Type="http://schemas.openxmlformats.org/officeDocument/2006/relationships/image" Target="media/image1.png"/><Relationship Id="rId36" Type="http://schemas.openxmlformats.org/officeDocument/2006/relationships/image" Target="media/image34.png"/><Relationship Id="rId17" Type="http://schemas.openxmlformats.org/officeDocument/2006/relationships/image" Target="media/image5.png"/><Relationship Id="rId39" Type="http://schemas.openxmlformats.org/officeDocument/2006/relationships/image" Target="media/image9.png"/><Relationship Id="rId16" Type="http://schemas.openxmlformats.org/officeDocument/2006/relationships/image" Target="media/image2.png"/><Relationship Id="rId38" Type="http://schemas.openxmlformats.org/officeDocument/2006/relationships/image" Target="media/image23.png"/><Relationship Id="rId19" Type="http://schemas.openxmlformats.org/officeDocument/2006/relationships/image" Target="media/image24.png"/><Relationship Id="rId18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